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D0B3" w14:textId="77777777" w:rsidR="00EA4725" w:rsidRPr="00441372" w:rsidRDefault="004347AC" w:rsidP="003506B8">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73488" w14:paraId="168A4D31" w14:textId="77777777" w:rsidTr="00F3021D">
        <w:tc>
          <w:tcPr>
            <w:tcW w:w="707" w:type="dxa"/>
            <w:tcBorders>
              <w:bottom w:val="single" w:sz="6" w:space="0" w:color="auto"/>
            </w:tcBorders>
            <w:shd w:val="clear" w:color="auto" w:fill="auto"/>
          </w:tcPr>
          <w:p w14:paraId="14BD081F" w14:textId="77777777" w:rsidR="00EA4725" w:rsidRPr="00441372" w:rsidRDefault="004347AC" w:rsidP="00441372">
            <w:pPr>
              <w:spacing w:before="120" w:after="120"/>
              <w:jc w:val="left"/>
            </w:pPr>
            <w:r w:rsidRPr="00441372">
              <w:rPr>
                <w:b/>
              </w:rPr>
              <w:t>1.</w:t>
            </w:r>
          </w:p>
        </w:tc>
        <w:tc>
          <w:tcPr>
            <w:tcW w:w="8320" w:type="dxa"/>
            <w:tcBorders>
              <w:bottom w:val="single" w:sz="6" w:space="0" w:color="auto"/>
            </w:tcBorders>
            <w:shd w:val="clear" w:color="auto" w:fill="auto"/>
          </w:tcPr>
          <w:p w14:paraId="32ED3D5E" w14:textId="77777777" w:rsidR="00EA4725" w:rsidRPr="00441372" w:rsidRDefault="004347A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52580A27" w14:textId="77777777" w:rsidR="00EA4725" w:rsidRPr="00441372" w:rsidRDefault="004347A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73488" w14:paraId="0207ED31" w14:textId="77777777" w:rsidTr="00F3021D">
        <w:tc>
          <w:tcPr>
            <w:tcW w:w="707" w:type="dxa"/>
            <w:tcBorders>
              <w:top w:val="single" w:sz="6" w:space="0" w:color="auto"/>
              <w:bottom w:val="single" w:sz="6" w:space="0" w:color="auto"/>
            </w:tcBorders>
            <w:shd w:val="clear" w:color="auto" w:fill="auto"/>
          </w:tcPr>
          <w:p w14:paraId="52C00E2B" w14:textId="77777777" w:rsidR="00EA4725" w:rsidRPr="00441372" w:rsidRDefault="004347A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CEC5865" w14:textId="77777777" w:rsidR="00EA4725" w:rsidRPr="00441372" w:rsidRDefault="004347A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D73488" w14:paraId="4040A561" w14:textId="77777777" w:rsidTr="00F3021D">
        <w:tc>
          <w:tcPr>
            <w:tcW w:w="707" w:type="dxa"/>
            <w:tcBorders>
              <w:top w:val="single" w:sz="6" w:space="0" w:color="auto"/>
              <w:bottom w:val="single" w:sz="6" w:space="0" w:color="auto"/>
            </w:tcBorders>
            <w:shd w:val="clear" w:color="auto" w:fill="auto"/>
          </w:tcPr>
          <w:p w14:paraId="052323C2" w14:textId="77777777" w:rsidR="00EA4725" w:rsidRPr="00441372" w:rsidRDefault="004347A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01F6A60" w14:textId="6D4498B8" w:rsidR="00EA4725" w:rsidRPr="00441372" w:rsidRDefault="004347A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Cereals (HS </w:t>
            </w:r>
            <w:r w:rsidR="00433E91">
              <w:t>c</w:t>
            </w:r>
            <w:r w:rsidRPr="0065690F">
              <w:t xml:space="preserve">odes: 1001, 1002, 1003, 1004, 1005, 1006, 1007, 1008), foodstuffs of animal origin (HS </w:t>
            </w:r>
            <w:r w:rsidR="00433E91">
              <w:t>c</w:t>
            </w:r>
            <w:r w:rsidRPr="0065690F">
              <w:t>odes: 0201, 0202, 0203, 0204, 0205, 0206, 0207, 0208, 0209, 0210) and certain products of plant origin, including fruit and vegetables</w:t>
            </w:r>
            <w:bookmarkEnd w:id="7"/>
          </w:p>
        </w:tc>
      </w:tr>
      <w:tr w:rsidR="00D73488" w14:paraId="5F260CB4" w14:textId="77777777" w:rsidTr="00F3021D">
        <w:tc>
          <w:tcPr>
            <w:tcW w:w="707" w:type="dxa"/>
            <w:tcBorders>
              <w:top w:val="single" w:sz="6" w:space="0" w:color="auto"/>
              <w:bottom w:val="single" w:sz="6" w:space="0" w:color="auto"/>
            </w:tcBorders>
            <w:shd w:val="clear" w:color="auto" w:fill="auto"/>
          </w:tcPr>
          <w:p w14:paraId="0B1553E5" w14:textId="77777777" w:rsidR="00EA4725" w:rsidRPr="00441372" w:rsidRDefault="004347A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40254C" w14:textId="77777777" w:rsidR="00EA4725" w:rsidRPr="00441372" w:rsidRDefault="004347A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3E3BBC9" w14:textId="77777777" w:rsidR="00EA4725" w:rsidRPr="00441372" w:rsidRDefault="004347A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2A7EC6D" w14:textId="77777777" w:rsidR="00EA4725" w:rsidRPr="00441372" w:rsidRDefault="004347A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73488" w14:paraId="32E3F774" w14:textId="77777777" w:rsidTr="00F3021D">
        <w:tc>
          <w:tcPr>
            <w:tcW w:w="707" w:type="dxa"/>
            <w:tcBorders>
              <w:top w:val="single" w:sz="6" w:space="0" w:color="auto"/>
              <w:bottom w:val="single" w:sz="6" w:space="0" w:color="auto"/>
            </w:tcBorders>
            <w:shd w:val="clear" w:color="auto" w:fill="auto"/>
          </w:tcPr>
          <w:p w14:paraId="51C23FF0" w14:textId="77777777" w:rsidR="00EA4725" w:rsidRPr="00441372" w:rsidRDefault="004347A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41BBF45" w14:textId="6E8CB501" w:rsidR="00EA4725" w:rsidRPr="00CA62A5" w:rsidRDefault="004347A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Commission Regulation amending Annexes II and III to Regulation (EC) No 396/2005 of the European Parliament and of the Council as regards maximum residue levels for </w:t>
            </w:r>
            <w:proofErr w:type="spellStart"/>
            <w:r w:rsidRPr="0065690F">
              <w:t>isopyrazam</w:t>
            </w:r>
            <w:proofErr w:type="spellEnd"/>
            <w:r w:rsidRPr="0065690F">
              <w:t xml:space="preserve">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r w:rsidR="00CA62A5">
              <w:t>+</w:t>
            </w:r>
            <w:r w:rsidR="00CA62A5" w:rsidRPr="0065690F">
              <w:t>1</w:t>
            </w:r>
            <w:r w:rsidRPr="0065690F">
              <w:t>+13</w:t>
            </w:r>
            <w:bookmarkEnd w:id="20"/>
            <w:r w:rsidR="00CA62A5" w:rsidRPr="0065690F">
              <w:t>+</w:t>
            </w:r>
            <w:r w:rsidR="00CA62A5">
              <w:t>12</w:t>
            </w:r>
          </w:p>
          <w:bookmarkStart w:id="21" w:name="sps5d"/>
          <w:p w14:paraId="57856ED1" w14:textId="77777777" w:rsidR="00EA4725" w:rsidRPr="00441372" w:rsidRDefault="004347AC" w:rsidP="00424ADE">
            <w:r>
              <w:fldChar w:fldCharType="begin"/>
            </w:r>
            <w:r>
              <w:instrText>HYPERLINK "https://members.wto.org/crnattachments/2024/SPS/EEC/24_03129_00_e.pdf" \t "_blank"</w:instrText>
            </w:r>
            <w:r>
              <w:fldChar w:fldCharType="separate"/>
            </w:r>
            <w:r w:rsidRPr="00441372">
              <w:rPr>
                <w:color w:val="0000FF"/>
                <w:u w:val="single"/>
              </w:rPr>
              <w:t>https://members.wto.org/crnattachments/2024/SPS/EEC/24_03129_00_e.pdf</w:t>
            </w:r>
            <w:r>
              <w:rPr>
                <w:color w:val="0000FF"/>
                <w:u w:val="single"/>
              </w:rPr>
              <w:fldChar w:fldCharType="end"/>
            </w:r>
          </w:p>
          <w:p w14:paraId="34F91CF8" w14:textId="77777777" w:rsidR="00EA4725" w:rsidRPr="00441372" w:rsidRDefault="00C516F8" w:rsidP="00441372">
            <w:hyperlink r:id="rId8" w:tgtFrame="_blank" w:history="1">
              <w:r w:rsidR="00424ADE" w:rsidRPr="00441372">
                <w:rPr>
                  <w:color w:val="0000FF"/>
                  <w:u w:val="single"/>
                </w:rPr>
                <w:t>https://members.wto.org/crnattachments/2024/SPS/EEC/24_03129_01_e.pdf</w:t>
              </w:r>
            </w:hyperlink>
          </w:p>
          <w:p w14:paraId="53D93627" w14:textId="77777777" w:rsidR="00EA4725" w:rsidRPr="00441372" w:rsidRDefault="00C516F8" w:rsidP="00441372">
            <w:hyperlink r:id="rId9" w:tgtFrame="_blank" w:history="1">
              <w:r w:rsidR="00424ADE" w:rsidRPr="00441372">
                <w:rPr>
                  <w:color w:val="0000FF"/>
                  <w:u w:val="single"/>
                </w:rPr>
                <w:t>https://members.wto.org/crnattachments/2024/SPS/EEC/24_03129_02_e.pdf</w:t>
              </w:r>
            </w:hyperlink>
          </w:p>
          <w:p w14:paraId="4EFF4AC3" w14:textId="77777777" w:rsidR="00EA4725" w:rsidRPr="00441372" w:rsidRDefault="00C516F8" w:rsidP="00441372">
            <w:pPr>
              <w:spacing w:after="120"/>
            </w:pPr>
            <w:hyperlink r:id="rId10" w:tgtFrame="_blank" w:history="1">
              <w:r w:rsidR="00424ADE" w:rsidRPr="00441372">
                <w:rPr>
                  <w:color w:val="0000FF"/>
                  <w:u w:val="single"/>
                </w:rPr>
                <w:t>https://members.wto.org/crnattachments/2024/SPS/EEC/24_03129_03_e.pdf</w:t>
              </w:r>
            </w:hyperlink>
            <w:bookmarkEnd w:id="21"/>
          </w:p>
        </w:tc>
      </w:tr>
      <w:tr w:rsidR="00D73488" w14:paraId="31B0A148" w14:textId="77777777" w:rsidTr="00F3021D">
        <w:tc>
          <w:tcPr>
            <w:tcW w:w="707" w:type="dxa"/>
            <w:tcBorders>
              <w:top w:val="single" w:sz="6" w:space="0" w:color="auto"/>
              <w:bottom w:val="single" w:sz="6" w:space="0" w:color="auto"/>
            </w:tcBorders>
            <w:shd w:val="clear" w:color="auto" w:fill="auto"/>
          </w:tcPr>
          <w:p w14:paraId="6E98E418" w14:textId="77777777" w:rsidR="00EA4725" w:rsidRPr="00441372" w:rsidRDefault="004347A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A736D71" w14:textId="77777777" w:rsidR="00EA4725" w:rsidRPr="00441372" w:rsidRDefault="004347A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proposed draft Regulation concerns the review and update of existing </w:t>
            </w:r>
            <w:proofErr w:type="spellStart"/>
            <w:r w:rsidRPr="0065690F">
              <w:t>MRLs</w:t>
            </w:r>
            <w:proofErr w:type="spellEnd"/>
            <w:r w:rsidRPr="0065690F">
              <w:t xml:space="preserve"> for </w:t>
            </w:r>
            <w:proofErr w:type="spellStart"/>
            <w:r w:rsidRPr="0065690F">
              <w:t>isopyrazam</w:t>
            </w:r>
            <w:proofErr w:type="spellEnd"/>
            <w:r w:rsidRPr="0065690F">
              <w:t xml:space="preserve"> in certain food commodities. </w:t>
            </w:r>
            <w:proofErr w:type="spellStart"/>
            <w:r w:rsidRPr="0065690F">
              <w:t>MRLs</w:t>
            </w:r>
            <w:proofErr w:type="spellEnd"/>
            <w:r w:rsidRPr="0065690F">
              <w:t xml:space="preserve"> for these substances in certain commodities are lowered. </w:t>
            </w:r>
            <w:proofErr w:type="spellStart"/>
            <w:r w:rsidRPr="0065690F">
              <w:t>MRLs</w:t>
            </w:r>
            <w:proofErr w:type="spellEnd"/>
            <w:r w:rsidRPr="0065690F">
              <w:t xml:space="preserve"> for these substances in certain commodities are changed. Lower </w:t>
            </w:r>
            <w:proofErr w:type="spellStart"/>
            <w:r w:rsidRPr="0065690F">
              <w:t>MRLs</w:t>
            </w:r>
            <w:proofErr w:type="spellEnd"/>
            <w:r w:rsidRPr="0065690F">
              <w:t xml:space="preserve"> are set after deleting old uses which are not authorised any more in the European Union as the approval of the use of the active substance withdrawn by Commission Implementing Regulation (EU) 2022/782</w:t>
            </w:r>
            <w:hyperlink w:anchor="_ftn1" w:history="1">
              <w:r w:rsidRPr="0065690F">
                <w:t>[1]</w:t>
              </w:r>
            </w:hyperlink>
            <w:r w:rsidRPr="0065690F">
              <w:t>.</w:t>
            </w:r>
          </w:p>
          <w:p w14:paraId="393A8AA7" w14:textId="3CDD47D6" w:rsidR="00AD7AA7" w:rsidRPr="000C1319" w:rsidRDefault="00C516F8" w:rsidP="007D73BB">
            <w:pPr>
              <w:spacing w:before="120"/>
              <w:rPr>
                <w:sz w:val="16"/>
                <w:szCs w:val="20"/>
              </w:rPr>
            </w:pPr>
            <w:hyperlink w:anchor="_ftnref1" w:history="1">
              <w:r w:rsidR="00424ADE" w:rsidRPr="00CF36C6">
                <w:rPr>
                  <w:sz w:val="16"/>
                  <w:szCs w:val="20"/>
                </w:rPr>
                <w:t>[1]</w:t>
              </w:r>
            </w:hyperlink>
            <w:r w:rsidR="00424ADE" w:rsidRPr="00CF36C6">
              <w:rPr>
                <w:sz w:val="16"/>
                <w:szCs w:val="20"/>
              </w:rPr>
              <w:t xml:space="preserve"> Commission Implementing Regulation (EU) 2022/782 of 18 May 2022 withdrawing the approval of the active substance </w:t>
            </w:r>
            <w:proofErr w:type="spellStart"/>
            <w:r w:rsidR="00424ADE" w:rsidRPr="00CF36C6">
              <w:rPr>
                <w:sz w:val="16"/>
                <w:szCs w:val="20"/>
              </w:rPr>
              <w:t>isopyrazam</w:t>
            </w:r>
            <w:proofErr w:type="spellEnd"/>
            <w:r w:rsidR="00424ADE" w:rsidRPr="00CF36C6">
              <w:rPr>
                <w:sz w:val="16"/>
                <w:szCs w:val="20"/>
              </w:rPr>
              <w:t xml:space="preserve"> in accordance with Regulation (EC) No 1107/2009 of the European Parliament and of the Council concerning the placing of plant protection products on the market, amending Commission Implementing Regulation (EU) No 540/2011 and repealing Implementing Regulation (EU) No 1037/2012</w:t>
            </w:r>
            <w:r w:rsidR="00CF36C6">
              <w:rPr>
                <w:sz w:val="16"/>
                <w:szCs w:val="20"/>
              </w:rPr>
              <w:t>.</w:t>
            </w:r>
          </w:p>
          <w:p w14:paraId="15E5F339" w14:textId="14AA5119" w:rsidR="00AD7AA7" w:rsidRPr="000C1319" w:rsidRDefault="004347AC" w:rsidP="007D73BB">
            <w:pPr>
              <w:spacing w:after="120"/>
            </w:pPr>
            <w:r w:rsidRPr="000C1319">
              <w:rPr>
                <w:sz w:val="16"/>
                <w:szCs w:val="20"/>
              </w:rPr>
              <w:t>(OJ L 140, 19</w:t>
            </w:r>
            <w:r w:rsidR="00CF36C6">
              <w:rPr>
                <w:sz w:val="16"/>
                <w:szCs w:val="20"/>
              </w:rPr>
              <w:t xml:space="preserve"> May </w:t>
            </w:r>
            <w:r w:rsidRPr="000C1319">
              <w:rPr>
                <w:sz w:val="16"/>
                <w:szCs w:val="20"/>
              </w:rPr>
              <w:t xml:space="preserve">2022, p. 3, ELI: </w:t>
            </w:r>
            <w:hyperlink r:id="rId11" w:history="1">
              <w:r w:rsidRPr="000C1319">
                <w:rPr>
                  <w:color w:val="0000FF"/>
                  <w:sz w:val="16"/>
                  <w:szCs w:val="20"/>
                  <w:u w:val="single"/>
                </w:rPr>
                <w:t>http://data.europa.eu/eli/reg_impl/2022/782/oj</w:t>
              </w:r>
            </w:hyperlink>
            <w:r w:rsidRPr="000C1319">
              <w:rPr>
                <w:sz w:val="16"/>
                <w:szCs w:val="20"/>
              </w:rPr>
              <w:t>).</w:t>
            </w:r>
            <w:bookmarkEnd w:id="23"/>
          </w:p>
        </w:tc>
      </w:tr>
      <w:tr w:rsidR="00D73488" w14:paraId="0533098F" w14:textId="77777777" w:rsidTr="00F3021D">
        <w:tc>
          <w:tcPr>
            <w:tcW w:w="707" w:type="dxa"/>
            <w:tcBorders>
              <w:top w:val="single" w:sz="6" w:space="0" w:color="auto"/>
              <w:bottom w:val="single" w:sz="6" w:space="0" w:color="auto"/>
            </w:tcBorders>
            <w:shd w:val="clear" w:color="auto" w:fill="auto"/>
          </w:tcPr>
          <w:p w14:paraId="60281D3F" w14:textId="77777777" w:rsidR="00EA4725" w:rsidRPr="00441372" w:rsidRDefault="004347A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DF6EEC5" w14:textId="77777777" w:rsidR="00EA4725" w:rsidRPr="00441372" w:rsidRDefault="004347A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73488" w14:paraId="2B9B9339" w14:textId="77777777" w:rsidTr="00F3021D">
        <w:tc>
          <w:tcPr>
            <w:tcW w:w="707" w:type="dxa"/>
            <w:tcBorders>
              <w:top w:val="single" w:sz="6" w:space="0" w:color="auto"/>
              <w:bottom w:val="single" w:sz="6" w:space="0" w:color="auto"/>
            </w:tcBorders>
            <w:shd w:val="clear" w:color="auto" w:fill="auto"/>
          </w:tcPr>
          <w:p w14:paraId="12026E85" w14:textId="77777777" w:rsidR="00EA4725" w:rsidRPr="00441372" w:rsidRDefault="004347A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256A74E" w14:textId="77777777" w:rsidR="00EA4725" w:rsidRPr="00441372" w:rsidRDefault="004347AC" w:rsidP="003506B8">
            <w:pPr>
              <w:spacing w:before="120" w:after="80"/>
            </w:pPr>
            <w:bookmarkStart w:id="36" w:name="X_SPS_Reg_8A"/>
            <w:r w:rsidRPr="00441372">
              <w:rPr>
                <w:b/>
              </w:rPr>
              <w:t>Is there a relevant international standard? If so, identify the standard</w:t>
            </w:r>
            <w:bookmarkEnd w:id="36"/>
            <w:r w:rsidRPr="00441372">
              <w:rPr>
                <w:b/>
              </w:rPr>
              <w:t>:</w:t>
            </w:r>
          </w:p>
          <w:p w14:paraId="515D1DA6" w14:textId="65ABCA5F" w:rsidR="00EA4725" w:rsidRPr="00441372" w:rsidRDefault="004347A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w:t>
            </w:r>
            <w:proofErr w:type="spellStart"/>
            <w:r w:rsidRPr="0065690F">
              <w:t>isopyrazam</w:t>
            </w:r>
            <w:proofErr w:type="spellEnd"/>
            <w:r w:rsidRPr="0065690F">
              <w:t xml:space="preserve"> in some commodities. CODEX </w:t>
            </w:r>
            <w:proofErr w:type="spellStart"/>
            <w:r w:rsidRPr="0065690F">
              <w:t>MRLs</w:t>
            </w:r>
            <w:proofErr w:type="spellEnd"/>
            <w:r w:rsidRPr="0065690F">
              <w:t xml:space="preserve"> LIST is available at </w:t>
            </w:r>
            <w:hyperlink r:id="rId12" w:tgtFrame="_blank" w:history="1">
              <w:r w:rsidRPr="0065690F">
                <w:rPr>
                  <w:color w:val="0000FF"/>
                  <w:u w:val="single"/>
                </w:rPr>
                <w:t>https://www.fao.org/fao-who-codexalimentarius/codex-texts/dbs/pestres/pesticides/en/</w:t>
              </w:r>
            </w:hyperlink>
            <w:bookmarkEnd w:id="39"/>
            <w:r w:rsidR="00A6262F" w:rsidRPr="0065690F">
              <w:t>.</w:t>
            </w:r>
          </w:p>
          <w:p w14:paraId="7C4739A0" w14:textId="77777777" w:rsidR="00EA4725" w:rsidRPr="00441372" w:rsidRDefault="004347AC" w:rsidP="003506B8">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37ABB8A" w14:textId="77777777" w:rsidR="00EA4725" w:rsidRPr="00441372" w:rsidRDefault="004347AC"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26798642" w14:textId="77777777" w:rsidR="00EA4725" w:rsidRPr="00441372" w:rsidRDefault="004347AC"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F2065C0" w14:textId="77777777" w:rsidR="00EA4725" w:rsidRPr="00441372" w:rsidRDefault="004347A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8EC2D13" w14:textId="77777777" w:rsidR="00EA4725" w:rsidRPr="00441372" w:rsidRDefault="004347AC"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789FFD4" w14:textId="77777777" w:rsidR="00EA4725" w:rsidRPr="00441372" w:rsidRDefault="004347AC" w:rsidP="007D73BB">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The European Food Safety Authority published reasoned opinion on the existing </w:t>
            </w:r>
            <w:proofErr w:type="spellStart"/>
            <w:r w:rsidRPr="0065690F">
              <w:t>MRLs</w:t>
            </w:r>
            <w:proofErr w:type="spellEnd"/>
            <w:r w:rsidRPr="0065690F">
              <w:t xml:space="preserve"> for </w:t>
            </w:r>
            <w:proofErr w:type="spellStart"/>
            <w:r w:rsidRPr="0065690F">
              <w:t>isopyrazam</w:t>
            </w:r>
            <w:proofErr w:type="spellEnd"/>
            <w:r w:rsidRPr="0065690F">
              <w:t>. Based on the opinion, Regulation (EC) No 396/2005 should be amended following a risk analysis approach.</w:t>
            </w:r>
          </w:p>
          <w:p w14:paraId="64283E42" w14:textId="5A9CFF4F" w:rsidR="00AD7AA7" w:rsidRPr="0065690F" w:rsidRDefault="004347AC" w:rsidP="007D73BB">
            <w:pPr>
              <w:spacing w:after="120"/>
            </w:pPr>
            <w:r w:rsidRPr="0065690F">
              <w:t xml:space="preserve">The current EU policy is to align EU </w:t>
            </w:r>
            <w:proofErr w:type="spellStart"/>
            <w:r w:rsidRPr="0065690F">
              <w:t>MRLs</w:t>
            </w:r>
            <w:proofErr w:type="spellEnd"/>
            <w:r w:rsidRPr="0065690F">
              <w:t xml:space="preserve"> with </w:t>
            </w:r>
            <w:proofErr w:type="spellStart"/>
            <w:r w:rsidRPr="0065690F">
              <w:t>CXLs</w:t>
            </w:r>
            <w:proofErr w:type="spellEnd"/>
            <w:r w:rsidRPr="0065690F">
              <w:t xml:space="preserve"> if the following conditions are fulfilled: (</w:t>
            </w:r>
            <w:proofErr w:type="spellStart"/>
            <w:r w:rsidRPr="0065690F">
              <w:t>i</w:t>
            </w:r>
            <w:proofErr w:type="spellEnd"/>
            <w:r w:rsidRPr="0065690F">
              <w:t xml:space="preserve">) that the </w:t>
            </w:r>
            <w:r w:rsidR="007D73BB" w:rsidRPr="0065690F">
              <w:t>E</w:t>
            </w:r>
            <w:r w:rsidR="007D73BB">
              <w:t xml:space="preserve">uropean </w:t>
            </w:r>
            <w:r w:rsidR="007D73BB" w:rsidRPr="0065690F">
              <w:t>U</w:t>
            </w:r>
            <w:r w:rsidR="007D73BB">
              <w:t>nion</w:t>
            </w:r>
            <w:r w:rsidR="007D73BB" w:rsidRPr="0065690F">
              <w:t xml:space="preserve"> </w:t>
            </w:r>
            <w:r w:rsidRPr="0065690F">
              <w:t xml:space="preserve">sets </w:t>
            </w:r>
            <w:proofErr w:type="spellStart"/>
            <w:r w:rsidRPr="0065690F">
              <w:t>MRLs</w:t>
            </w:r>
            <w:proofErr w:type="spellEnd"/>
            <w:r w:rsidRPr="0065690F">
              <w:t xml:space="preserve"> for the commodity under consideration; (ii) that the current EU </w:t>
            </w:r>
            <w:proofErr w:type="spellStart"/>
            <w:r w:rsidRPr="0065690F">
              <w:t>MRL</w:t>
            </w:r>
            <w:proofErr w:type="spellEnd"/>
            <w:r w:rsidRPr="0065690F">
              <w:t xml:space="preserve"> is lower than the CXL; and (iii) that the CXL is acceptable to the </w:t>
            </w:r>
            <w:r w:rsidR="007D73BB" w:rsidRPr="0065690F">
              <w:t>E</w:t>
            </w:r>
            <w:r w:rsidR="007D73BB">
              <w:t>uropean </w:t>
            </w:r>
            <w:r w:rsidR="007D73BB" w:rsidRPr="0065690F">
              <w:t>U</w:t>
            </w:r>
            <w:r w:rsidR="007D73BB">
              <w:t>nion</w:t>
            </w:r>
            <w:r w:rsidR="007D73BB" w:rsidRPr="0065690F">
              <w:t xml:space="preserve"> </w:t>
            </w:r>
            <w:r w:rsidRPr="0065690F">
              <w:t>with respect to its policy objective of ensuring a high level of consumer protection, including aspects on supporting data and extrapolations.</w:t>
            </w:r>
          </w:p>
          <w:p w14:paraId="76E9466F" w14:textId="53FB6884" w:rsidR="00AD7AA7" w:rsidRPr="0065690F" w:rsidRDefault="004347AC" w:rsidP="00441372">
            <w:r w:rsidRPr="0065690F">
              <w:t>Where the E</w:t>
            </w:r>
            <w:r w:rsidR="007D73BB">
              <w:t xml:space="preserve">uropean </w:t>
            </w:r>
            <w:r w:rsidRPr="0065690F">
              <w:t>U</w:t>
            </w:r>
            <w:r w:rsidR="007D73BB">
              <w:t>nion</w:t>
            </w:r>
            <w:r w:rsidRPr="0065690F">
              <w:t xml:space="preserve"> considers that a proposed CXL is not acceptable, it makes a reservation to the Codex Committee on Pesticide Residues (</w:t>
            </w:r>
            <w:proofErr w:type="spellStart"/>
            <w:r w:rsidRPr="0065690F">
              <w:t>CCPR</w:t>
            </w:r>
            <w:proofErr w:type="spellEnd"/>
            <w:r w:rsidRPr="0065690F">
              <w:t xml:space="preserve">). Reservations made by the </w:t>
            </w:r>
            <w:r w:rsidR="007D73BB" w:rsidRPr="0065690F">
              <w:t>E</w:t>
            </w:r>
            <w:r w:rsidR="007D73BB">
              <w:t xml:space="preserve">uropean </w:t>
            </w:r>
            <w:r w:rsidR="007D73BB" w:rsidRPr="0065690F">
              <w:t>U</w:t>
            </w:r>
            <w:r w:rsidR="007D73BB">
              <w:t>nion</w:t>
            </w:r>
            <w:r w:rsidRPr="0065690F">
              <w:t xml:space="preserve">, concerning some of the active substances envisaged by the draft Regulation, are listed in the relevant </w:t>
            </w:r>
            <w:proofErr w:type="spellStart"/>
            <w:r w:rsidRPr="0065690F">
              <w:t>CCPR</w:t>
            </w:r>
            <w:proofErr w:type="spellEnd"/>
            <w:r w:rsidRPr="0065690F">
              <w:t xml:space="preserve"> reports:</w:t>
            </w:r>
          </w:p>
          <w:p w14:paraId="6E401612" w14:textId="5D8DDD38" w:rsidR="00AD7AA7" w:rsidRPr="0065690F" w:rsidRDefault="00C516F8" w:rsidP="00441372">
            <w:pPr>
              <w:spacing w:after="120"/>
            </w:pPr>
            <w:hyperlink r:id="rId13" w:tgtFrame="_blank" w:history="1">
              <w:r w:rsidR="00424ADE" w:rsidRPr="0065690F">
                <w:rPr>
                  <w:color w:val="0000FF"/>
                  <w:u w:val="single"/>
                </w:rPr>
                <w:t>http://www.fao.org/fao-who-codexalimentarius/committees/committee/related-meetings/en/?committee=CCPR</w:t>
              </w:r>
            </w:hyperlink>
            <w:bookmarkEnd w:id="54"/>
            <w:r w:rsidR="003506B8" w:rsidRPr="0065690F">
              <w:t>.</w:t>
            </w:r>
          </w:p>
        </w:tc>
      </w:tr>
      <w:tr w:rsidR="00D73488" w14:paraId="3B37CB51" w14:textId="77777777" w:rsidTr="00F3021D">
        <w:tc>
          <w:tcPr>
            <w:tcW w:w="707" w:type="dxa"/>
            <w:tcBorders>
              <w:top w:val="single" w:sz="6" w:space="0" w:color="auto"/>
              <w:bottom w:val="single" w:sz="6" w:space="0" w:color="auto"/>
            </w:tcBorders>
            <w:shd w:val="clear" w:color="auto" w:fill="auto"/>
          </w:tcPr>
          <w:p w14:paraId="0A6BADBA" w14:textId="77777777" w:rsidR="00EA4725" w:rsidRPr="00441372" w:rsidRDefault="004347A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935F9CD" w14:textId="77777777" w:rsidR="007D73BB" w:rsidRDefault="004347AC"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5FF47F00" w14:textId="22FF693C" w:rsidR="00EA4725" w:rsidRPr="00441372" w:rsidRDefault="004347AC" w:rsidP="007D73BB">
            <w:pPr>
              <w:numPr>
                <w:ilvl w:val="0"/>
                <w:numId w:val="16"/>
              </w:numPr>
              <w:spacing w:before="120"/>
              <w:ind w:left="358"/>
            </w:pPr>
            <w:r w:rsidRPr="0065690F">
              <w:t>Regulation (EC) No 396/2005 of the European Parliament and of the Council of 23</w:t>
            </w:r>
            <w:r w:rsidR="00A6262F">
              <w:t> </w:t>
            </w:r>
            <w:r w:rsidRPr="0065690F">
              <w:t>February 2005 on maximum residue levels of pesticides in or on food and feed of plant and animal origin and amending Council Directive 91/414/EEC</w:t>
            </w:r>
          </w:p>
          <w:p w14:paraId="41B91950" w14:textId="1E26873B" w:rsidR="00AD7AA7" w:rsidRPr="0065690F" w:rsidRDefault="00C516F8" w:rsidP="007D73BB">
            <w:pPr>
              <w:ind w:left="358"/>
            </w:pPr>
            <w:hyperlink r:id="rId14" w:history="1">
              <w:r w:rsidR="007D73BB" w:rsidRPr="001E006E">
                <w:rPr>
                  <w:rStyle w:val="Hyperlink"/>
                </w:rPr>
                <w:t>http://eur-lex.europa.eu/legal-content/EN/ALL/?uri=CELEX%3A32005R0396</w:t>
              </w:r>
            </w:hyperlink>
          </w:p>
          <w:p w14:paraId="750CE4A1" w14:textId="0D278347" w:rsidR="00AD7AA7" w:rsidRPr="0065690F" w:rsidRDefault="004347AC" w:rsidP="007D73BB">
            <w:pPr>
              <w:numPr>
                <w:ilvl w:val="0"/>
                <w:numId w:val="16"/>
              </w:numPr>
              <w:ind w:left="358"/>
            </w:pPr>
            <w:r w:rsidRPr="0065690F">
              <w:t xml:space="preserve">European Food Safety Authority; Reasoned opinion on the review of the existing maximum residue levels for </w:t>
            </w:r>
            <w:proofErr w:type="spellStart"/>
            <w:r w:rsidRPr="0065690F">
              <w:t>isopyrazam</w:t>
            </w:r>
            <w:proofErr w:type="spellEnd"/>
            <w:r w:rsidRPr="0065690F">
              <w:t xml:space="preserve"> according to Article 12 of Regulation (EC) No</w:t>
            </w:r>
            <w:r w:rsidR="00A6262F">
              <w:t> </w:t>
            </w:r>
            <w:r w:rsidRPr="0065690F">
              <w:t>396/2005; EFSA Journal 2021;19(7):6684</w:t>
            </w:r>
          </w:p>
          <w:p w14:paraId="0AABFB23" w14:textId="04097C21" w:rsidR="00AD7AA7" w:rsidRPr="0065690F" w:rsidRDefault="00C516F8" w:rsidP="007D73BB">
            <w:pPr>
              <w:ind w:left="358"/>
            </w:pPr>
            <w:hyperlink r:id="rId15" w:history="1">
              <w:r w:rsidR="007D73BB" w:rsidRPr="001E006E">
                <w:rPr>
                  <w:rStyle w:val="Hyperlink"/>
                </w:rPr>
                <w:t>https://doi.org/10.2903/j.efsa.2021.6684</w:t>
              </w:r>
            </w:hyperlink>
          </w:p>
          <w:p w14:paraId="02CE30EE" w14:textId="17690EA5" w:rsidR="00AD7AA7" w:rsidRPr="0065690F" w:rsidRDefault="004347AC" w:rsidP="00441372">
            <w:pPr>
              <w:spacing w:after="120"/>
            </w:pPr>
            <w:bookmarkStart w:id="57" w:name="sps9b"/>
            <w:bookmarkEnd w:id="56"/>
            <w:r w:rsidRPr="0065690F">
              <w:rPr>
                <w:bCs/>
              </w:rPr>
              <w:t>(available in English)</w:t>
            </w:r>
            <w:bookmarkEnd w:id="57"/>
          </w:p>
        </w:tc>
      </w:tr>
      <w:tr w:rsidR="00D73488" w14:paraId="79328A27" w14:textId="77777777" w:rsidTr="00F3021D">
        <w:tc>
          <w:tcPr>
            <w:tcW w:w="707" w:type="dxa"/>
            <w:tcBorders>
              <w:top w:val="single" w:sz="6" w:space="0" w:color="auto"/>
              <w:bottom w:val="single" w:sz="6" w:space="0" w:color="auto"/>
            </w:tcBorders>
            <w:shd w:val="clear" w:color="auto" w:fill="auto"/>
          </w:tcPr>
          <w:p w14:paraId="667FA663" w14:textId="77777777" w:rsidR="00EA4725" w:rsidRPr="00441372" w:rsidRDefault="004347A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A1F0B24" w14:textId="77777777" w:rsidR="00EA4725" w:rsidRPr="00441372" w:rsidRDefault="004347A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24 January 2025</w:t>
            </w:r>
            <w:bookmarkEnd w:id="59"/>
          </w:p>
          <w:p w14:paraId="23FB427D" w14:textId="77777777" w:rsidR="00EA4725" w:rsidRPr="00441372" w:rsidRDefault="004347A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24 February 2025</w:t>
            </w:r>
            <w:bookmarkEnd w:id="61"/>
          </w:p>
        </w:tc>
      </w:tr>
      <w:tr w:rsidR="00D73488" w14:paraId="1B4C6E06" w14:textId="77777777" w:rsidTr="00F3021D">
        <w:tc>
          <w:tcPr>
            <w:tcW w:w="707" w:type="dxa"/>
            <w:tcBorders>
              <w:top w:val="single" w:sz="6" w:space="0" w:color="auto"/>
              <w:bottom w:val="single" w:sz="6" w:space="0" w:color="auto"/>
            </w:tcBorders>
            <w:shd w:val="clear" w:color="auto" w:fill="auto"/>
          </w:tcPr>
          <w:p w14:paraId="22EAE4B8" w14:textId="77777777" w:rsidR="00EA4725" w:rsidRPr="00441372" w:rsidRDefault="004347A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59479CD" w14:textId="24F94BB5" w:rsidR="00AD7AA7" w:rsidRPr="0065690F" w:rsidRDefault="004347AC" w:rsidP="007D73BB">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 and apply six months thereafter.</w:t>
            </w:r>
            <w:bookmarkEnd w:id="65"/>
          </w:p>
          <w:p w14:paraId="0C11A0A4" w14:textId="77777777" w:rsidR="00EA4725" w:rsidRPr="00441372" w:rsidRDefault="004347A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73488" w14:paraId="04C32F3B" w14:textId="77777777" w:rsidTr="00F3021D">
        <w:tc>
          <w:tcPr>
            <w:tcW w:w="707" w:type="dxa"/>
            <w:tcBorders>
              <w:top w:val="single" w:sz="6" w:space="0" w:color="auto"/>
              <w:bottom w:val="single" w:sz="6" w:space="0" w:color="auto"/>
            </w:tcBorders>
            <w:shd w:val="clear" w:color="auto" w:fill="auto"/>
          </w:tcPr>
          <w:p w14:paraId="5E25A9BB" w14:textId="77777777" w:rsidR="00EA4725" w:rsidRPr="00441372" w:rsidRDefault="004347A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5ED44B2" w14:textId="77777777" w:rsidR="00EA4725" w:rsidRPr="00441372" w:rsidRDefault="004347A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7 July 2024</w:t>
            </w:r>
            <w:bookmarkEnd w:id="72"/>
          </w:p>
          <w:p w14:paraId="5A7151BB" w14:textId="77777777" w:rsidR="00EA4725" w:rsidRPr="00441372" w:rsidRDefault="004347A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8595072" w14:textId="77777777" w:rsidR="00AD7AA7" w:rsidRPr="0065690F" w:rsidRDefault="004347AC" w:rsidP="00441372">
            <w:r w:rsidRPr="0065690F">
              <w:t>European Commission</w:t>
            </w:r>
          </w:p>
          <w:p w14:paraId="256FF344" w14:textId="77777777" w:rsidR="00AD7AA7" w:rsidRPr="0065690F" w:rsidRDefault="004347AC" w:rsidP="00441372">
            <w:r w:rsidRPr="0065690F">
              <w:t>DG Health and Food Safety, Unit A4-Multilateral International Relations</w:t>
            </w:r>
          </w:p>
          <w:p w14:paraId="52D446FA" w14:textId="77777777" w:rsidR="00AD7AA7" w:rsidRPr="00433E91" w:rsidRDefault="004347AC" w:rsidP="00441372">
            <w:pPr>
              <w:rPr>
                <w:lang w:val="fr-CH"/>
              </w:rPr>
            </w:pPr>
            <w:r w:rsidRPr="00433E91">
              <w:rPr>
                <w:lang w:val="fr-CH"/>
              </w:rPr>
              <w:t>Rue Froissart 101</w:t>
            </w:r>
          </w:p>
          <w:p w14:paraId="34B3C567" w14:textId="77777777" w:rsidR="00AD7AA7" w:rsidRPr="00433E91" w:rsidRDefault="004347AC" w:rsidP="00441372">
            <w:pPr>
              <w:rPr>
                <w:lang w:val="fr-CH"/>
              </w:rPr>
            </w:pPr>
            <w:r w:rsidRPr="00433E91">
              <w:rPr>
                <w:lang w:val="fr-CH"/>
              </w:rPr>
              <w:t>B-1049 Brussels</w:t>
            </w:r>
          </w:p>
          <w:p w14:paraId="6FA8DF6D" w14:textId="77777777" w:rsidR="00AD7AA7" w:rsidRPr="00433E91" w:rsidRDefault="004347AC" w:rsidP="00441372">
            <w:pPr>
              <w:rPr>
                <w:lang w:val="fr-CH"/>
              </w:rPr>
            </w:pPr>
            <w:r w:rsidRPr="00433E91">
              <w:rPr>
                <w:lang w:val="fr-CH"/>
              </w:rPr>
              <w:t>Tel: +(32 2) 29 54263</w:t>
            </w:r>
          </w:p>
          <w:p w14:paraId="3C903EBA" w14:textId="77777777" w:rsidR="00AD7AA7" w:rsidRPr="0065690F" w:rsidRDefault="004347AC" w:rsidP="00441372">
            <w:pPr>
              <w:spacing w:after="120"/>
            </w:pPr>
            <w:r w:rsidRPr="0065690F">
              <w:t xml:space="preserve">E-mail: </w:t>
            </w:r>
            <w:hyperlink r:id="rId16" w:history="1">
              <w:r w:rsidRPr="0065690F">
                <w:rPr>
                  <w:color w:val="0000FF"/>
                  <w:u w:val="single"/>
                </w:rPr>
                <w:t>sps@ec.europa.eu</w:t>
              </w:r>
            </w:hyperlink>
            <w:bookmarkEnd w:id="79"/>
          </w:p>
        </w:tc>
      </w:tr>
      <w:tr w:rsidR="00D73488" w14:paraId="5D81BCA9" w14:textId="77777777" w:rsidTr="00F3021D">
        <w:tc>
          <w:tcPr>
            <w:tcW w:w="707" w:type="dxa"/>
            <w:tcBorders>
              <w:top w:val="single" w:sz="6" w:space="0" w:color="auto"/>
            </w:tcBorders>
            <w:shd w:val="clear" w:color="auto" w:fill="auto"/>
          </w:tcPr>
          <w:p w14:paraId="4EF78CC0" w14:textId="77777777" w:rsidR="00EA4725" w:rsidRPr="00441372" w:rsidRDefault="004347AC"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9DF82F0" w14:textId="77777777" w:rsidR="00EA4725" w:rsidRPr="00441372" w:rsidRDefault="004347A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EAED4DA" w14:textId="77777777" w:rsidR="00EA4725" w:rsidRPr="0065690F" w:rsidRDefault="004347AC" w:rsidP="00F3021D">
            <w:pPr>
              <w:keepNext/>
              <w:keepLines/>
              <w:rPr>
                <w:bCs/>
              </w:rPr>
            </w:pPr>
            <w:r w:rsidRPr="0065690F">
              <w:rPr>
                <w:bCs/>
              </w:rPr>
              <w:t>European Commission</w:t>
            </w:r>
          </w:p>
          <w:p w14:paraId="74289AB7" w14:textId="77777777" w:rsidR="00EA4725" w:rsidRPr="0065690F" w:rsidRDefault="004347AC" w:rsidP="00F3021D">
            <w:pPr>
              <w:keepNext/>
              <w:keepLines/>
              <w:rPr>
                <w:bCs/>
              </w:rPr>
            </w:pPr>
            <w:r w:rsidRPr="0065690F">
              <w:rPr>
                <w:bCs/>
              </w:rPr>
              <w:t>DG Health and Food Safety, Unit A4-Multilateral International Relations</w:t>
            </w:r>
          </w:p>
          <w:p w14:paraId="54C4516B" w14:textId="77777777" w:rsidR="00EA4725" w:rsidRPr="00433E91" w:rsidRDefault="004347AC" w:rsidP="00F3021D">
            <w:pPr>
              <w:keepNext/>
              <w:keepLines/>
              <w:rPr>
                <w:bCs/>
                <w:lang w:val="fr-CH"/>
              </w:rPr>
            </w:pPr>
            <w:r w:rsidRPr="00433E91">
              <w:rPr>
                <w:bCs/>
                <w:lang w:val="fr-CH"/>
              </w:rPr>
              <w:t>Rue Froissart 101</w:t>
            </w:r>
          </w:p>
          <w:p w14:paraId="0A74684A" w14:textId="77777777" w:rsidR="00EA4725" w:rsidRPr="00433E91" w:rsidRDefault="004347AC" w:rsidP="00F3021D">
            <w:pPr>
              <w:keepNext/>
              <w:keepLines/>
              <w:rPr>
                <w:bCs/>
                <w:lang w:val="fr-CH"/>
              </w:rPr>
            </w:pPr>
            <w:r w:rsidRPr="00433E91">
              <w:rPr>
                <w:bCs/>
                <w:lang w:val="fr-CH"/>
              </w:rPr>
              <w:t>B-1049 Brussels</w:t>
            </w:r>
          </w:p>
          <w:p w14:paraId="2ED1A05F" w14:textId="77777777" w:rsidR="00EA4725" w:rsidRPr="00433E91" w:rsidRDefault="004347AC" w:rsidP="00F3021D">
            <w:pPr>
              <w:keepNext/>
              <w:keepLines/>
              <w:rPr>
                <w:bCs/>
                <w:lang w:val="fr-CH"/>
              </w:rPr>
            </w:pPr>
            <w:r w:rsidRPr="00433E91">
              <w:rPr>
                <w:bCs/>
                <w:lang w:val="fr-CH"/>
              </w:rPr>
              <w:t>Tel: +(32 2) 29 54263</w:t>
            </w:r>
          </w:p>
          <w:p w14:paraId="3B022CE9" w14:textId="77777777" w:rsidR="00EA4725" w:rsidRPr="0065690F" w:rsidRDefault="004347AC" w:rsidP="00F3021D">
            <w:pPr>
              <w:keepNext/>
              <w:keepLines/>
              <w:spacing w:after="120"/>
              <w:rPr>
                <w:bCs/>
              </w:rPr>
            </w:pPr>
            <w:r w:rsidRPr="0065690F">
              <w:rPr>
                <w:bCs/>
              </w:rPr>
              <w:t xml:space="preserve">E-mail: </w:t>
            </w:r>
            <w:hyperlink r:id="rId17" w:history="1">
              <w:r w:rsidRPr="0065690F">
                <w:rPr>
                  <w:bCs/>
                  <w:color w:val="0000FF"/>
                  <w:u w:val="single"/>
                </w:rPr>
                <w:t>sps@ec.europa.eu</w:t>
              </w:r>
            </w:hyperlink>
            <w:bookmarkEnd w:id="86"/>
          </w:p>
        </w:tc>
      </w:tr>
    </w:tbl>
    <w:p w14:paraId="552F8D50" w14:textId="77777777" w:rsidR="007141CF" w:rsidRPr="00441372" w:rsidRDefault="007141CF" w:rsidP="00441372"/>
    <w:sectPr w:rsidR="007141CF" w:rsidRPr="00441372" w:rsidSect="00433E91">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C810" w14:textId="77777777" w:rsidR="004347AC" w:rsidRDefault="004347AC">
      <w:r>
        <w:separator/>
      </w:r>
    </w:p>
  </w:endnote>
  <w:endnote w:type="continuationSeparator" w:id="0">
    <w:p w14:paraId="251D8517" w14:textId="77777777" w:rsidR="004347AC" w:rsidRDefault="0043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1D3F" w14:textId="422696C0" w:rsidR="00EA4725" w:rsidRPr="00433E91" w:rsidRDefault="004347AC" w:rsidP="00433E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6084" w14:textId="4993173E" w:rsidR="00EA4725" w:rsidRPr="00433E91" w:rsidRDefault="004347AC" w:rsidP="00433E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ADA5" w14:textId="77777777" w:rsidR="00C863EB" w:rsidRPr="00441372" w:rsidRDefault="004347A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9719" w14:textId="77777777" w:rsidR="004347AC" w:rsidRDefault="004347AC">
      <w:r>
        <w:separator/>
      </w:r>
    </w:p>
  </w:footnote>
  <w:footnote w:type="continuationSeparator" w:id="0">
    <w:p w14:paraId="1193A254" w14:textId="77777777" w:rsidR="004347AC" w:rsidRDefault="0043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52B3" w14:textId="77777777" w:rsidR="00433E91" w:rsidRPr="00433E91" w:rsidRDefault="004347AC" w:rsidP="00433E91">
    <w:pPr>
      <w:pStyle w:val="Header"/>
      <w:pBdr>
        <w:bottom w:val="single" w:sz="4" w:space="1" w:color="auto"/>
      </w:pBdr>
      <w:tabs>
        <w:tab w:val="clear" w:pos="4513"/>
        <w:tab w:val="clear" w:pos="9027"/>
      </w:tabs>
      <w:jc w:val="center"/>
    </w:pPr>
    <w:r w:rsidRPr="00433E91">
      <w:t>G/SPS/N/EU/762</w:t>
    </w:r>
  </w:p>
  <w:p w14:paraId="4CDA53BB" w14:textId="77777777" w:rsidR="00433E91" w:rsidRPr="00433E91" w:rsidRDefault="00433E91" w:rsidP="00433E91">
    <w:pPr>
      <w:pStyle w:val="Header"/>
      <w:pBdr>
        <w:bottom w:val="single" w:sz="4" w:space="1" w:color="auto"/>
      </w:pBdr>
      <w:tabs>
        <w:tab w:val="clear" w:pos="4513"/>
        <w:tab w:val="clear" w:pos="9027"/>
      </w:tabs>
      <w:jc w:val="center"/>
    </w:pPr>
  </w:p>
  <w:p w14:paraId="19DC335A" w14:textId="4D3D89BF" w:rsidR="00433E91" w:rsidRPr="00433E91" w:rsidRDefault="004347AC" w:rsidP="00433E91">
    <w:pPr>
      <w:pStyle w:val="Header"/>
      <w:pBdr>
        <w:bottom w:val="single" w:sz="4" w:space="1" w:color="auto"/>
      </w:pBdr>
      <w:tabs>
        <w:tab w:val="clear" w:pos="4513"/>
        <w:tab w:val="clear" w:pos="9027"/>
      </w:tabs>
      <w:jc w:val="center"/>
    </w:pPr>
    <w:r w:rsidRPr="00433E91">
      <w:t xml:space="preserve">- </w:t>
    </w:r>
    <w:r w:rsidRPr="00433E91">
      <w:fldChar w:fldCharType="begin"/>
    </w:r>
    <w:r w:rsidRPr="00433E91">
      <w:instrText xml:space="preserve"> PAGE </w:instrText>
    </w:r>
    <w:r w:rsidRPr="00433E91">
      <w:fldChar w:fldCharType="separate"/>
    </w:r>
    <w:r w:rsidRPr="00433E91">
      <w:rPr>
        <w:noProof/>
      </w:rPr>
      <w:t>2</w:t>
    </w:r>
    <w:r w:rsidRPr="00433E91">
      <w:fldChar w:fldCharType="end"/>
    </w:r>
    <w:r w:rsidRPr="00433E91">
      <w:t xml:space="preserve"> -</w:t>
    </w:r>
  </w:p>
  <w:p w14:paraId="25D63338" w14:textId="2138C4A2" w:rsidR="00EA4725" w:rsidRPr="00433E91" w:rsidRDefault="00EA4725" w:rsidP="00433E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D81F" w14:textId="77777777" w:rsidR="00433E91" w:rsidRPr="00433E91" w:rsidRDefault="004347AC" w:rsidP="00433E91">
    <w:pPr>
      <w:pStyle w:val="Header"/>
      <w:pBdr>
        <w:bottom w:val="single" w:sz="4" w:space="1" w:color="auto"/>
      </w:pBdr>
      <w:tabs>
        <w:tab w:val="clear" w:pos="4513"/>
        <w:tab w:val="clear" w:pos="9027"/>
      </w:tabs>
      <w:jc w:val="center"/>
    </w:pPr>
    <w:r w:rsidRPr="00433E91">
      <w:t>G/SPS/N/EU/762</w:t>
    </w:r>
  </w:p>
  <w:p w14:paraId="5817B99E" w14:textId="77777777" w:rsidR="00433E91" w:rsidRPr="00433E91" w:rsidRDefault="00433E91" w:rsidP="00433E91">
    <w:pPr>
      <w:pStyle w:val="Header"/>
      <w:pBdr>
        <w:bottom w:val="single" w:sz="4" w:space="1" w:color="auto"/>
      </w:pBdr>
      <w:tabs>
        <w:tab w:val="clear" w:pos="4513"/>
        <w:tab w:val="clear" w:pos="9027"/>
      </w:tabs>
      <w:jc w:val="center"/>
    </w:pPr>
  </w:p>
  <w:p w14:paraId="7B9B95E8" w14:textId="5CB2F2C1" w:rsidR="00433E91" w:rsidRPr="00433E91" w:rsidRDefault="004347AC" w:rsidP="00433E91">
    <w:pPr>
      <w:pStyle w:val="Header"/>
      <w:pBdr>
        <w:bottom w:val="single" w:sz="4" w:space="1" w:color="auto"/>
      </w:pBdr>
      <w:tabs>
        <w:tab w:val="clear" w:pos="4513"/>
        <w:tab w:val="clear" w:pos="9027"/>
      </w:tabs>
      <w:jc w:val="center"/>
    </w:pPr>
    <w:r w:rsidRPr="00433E91">
      <w:t xml:space="preserve">- </w:t>
    </w:r>
    <w:r w:rsidRPr="00433E91">
      <w:fldChar w:fldCharType="begin"/>
    </w:r>
    <w:r w:rsidRPr="00433E91">
      <w:instrText xml:space="preserve"> PAGE </w:instrText>
    </w:r>
    <w:r w:rsidRPr="00433E91">
      <w:fldChar w:fldCharType="separate"/>
    </w:r>
    <w:r w:rsidRPr="00433E91">
      <w:rPr>
        <w:noProof/>
      </w:rPr>
      <w:t>2</w:t>
    </w:r>
    <w:r w:rsidRPr="00433E91">
      <w:fldChar w:fldCharType="end"/>
    </w:r>
    <w:r w:rsidRPr="00433E91">
      <w:t xml:space="preserve"> -</w:t>
    </w:r>
  </w:p>
  <w:p w14:paraId="0AA119EF" w14:textId="5D720E4D" w:rsidR="00EA4725" w:rsidRPr="00433E91" w:rsidRDefault="00EA4725" w:rsidP="00433E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3488" w14:paraId="46B5E0A2" w14:textId="77777777" w:rsidTr="00EE3CAF">
      <w:trPr>
        <w:trHeight w:val="240"/>
        <w:jc w:val="center"/>
      </w:trPr>
      <w:tc>
        <w:tcPr>
          <w:tcW w:w="3794" w:type="dxa"/>
          <w:shd w:val="clear" w:color="auto" w:fill="FFFFFF"/>
          <w:tcMar>
            <w:left w:w="108" w:type="dxa"/>
            <w:right w:w="108" w:type="dxa"/>
          </w:tcMar>
          <w:vAlign w:val="center"/>
        </w:tcPr>
        <w:p w14:paraId="7AC1611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7B5DB95" w14:textId="7793AAA5" w:rsidR="00ED54E0" w:rsidRPr="00EA4725" w:rsidRDefault="004347AC" w:rsidP="00422B6F">
          <w:pPr>
            <w:jc w:val="right"/>
            <w:rPr>
              <w:b/>
              <w:color w:val="FF0000"/>
              <w:szCs w:val="16"/>
            </w:rPr>
          </w:pPr>
          <w:r>
            <w:rPr>
              <w:b/>
              <w:color w:val="FF0000"/>
              <w:szCs w:val="16"/>
            </w:rPr>
            <w:t xml:space="preserve"> </w:t>
          </w:r>
        </w:p>
      </w:tc>
    </w:tr>
    <w:bookmarkEnd w:id="87"/>
    <w:tr w:rsidR="00D73488" w14:paraId="35A8CCF6" w14:textId="77777777" w:rsidTr="00EE3CAF">
      <w:trPr>
        <w:trHeight w:val="213"/>
        <w:jc w:val="center"/>
      </w:trPr>
      <w:tc>
        <w:tcPr>
          <w:tcW w:w="3794" w:type="dxa"/>
          <w:vMerge w:val="restart"/>
          <w:shd w:val="clear" w:color="auto" w:fill="FFFFFF"/>
          <w:tcMar>
            <w:left w:w="0" w:type="dxa"/>
            <w:right w:w="0" w:type="dxa"/>
          </w:tcMar>
        </w:tcPr>
        <w:p w14:paraId="4A778A35" w14:textId="77777777" w:rsidR="00ED54E0" w:rsidRPr="00EA4725" w:rsidRDefault="003F53E6" w:rsidP="00422B6F">
          <w:pPr>
            <w:jc w:val="left"/>
          </w:pPr>
          <w:r>
            <w:rPr>
              <w:lang w:eastAsia="en-GB"/>
            </w:rPr>
            <w:pict w14:anchorId="679C1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6FDE78C" w14:textId="77777777" w:rsidR="00ED54E0" w:rsidRPr="00EA4725" w:rsidRDefault="00ED54E0" w:rsidP="00422B6F">
          <w:pPr>
            <w:jc w:val="right"/>
            <w:rPr>
              <w:b/>
              <w:szCs w:val="16"/>
            </w:rPr>
          </w:pPr>
        </w:p>
      </w:tc>
    </w:tr>
    <w:tr w:rsidR="00D73488" w14:paraId="014EBD27" w14:textId="77777777" w:rsidTr="00EE3CAF">
      <w:trPr>
        <w:trHeight w:val="868"/>
        <w:jc w:val="center"/>
      </w:trPr>
      <w:tc>
        <w:tcPr>
          <w:tcW w:w="3794" w:type="dxa"/>
          <w:vMerge/>
          <w:shd w:val="clear" w:color="auto" w:fill="FFFFFF"/>
          <w:tcMar>
            <w:left w:w="108" w:type="dxa"/>
            <w:right w:w="108" w:type="dxa"/>
          </w:tcMar>
        </w:tcPr>
        <w:p w14:paraId="27CBD0C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45E2191" w14:textId="77777777" w:rsidR="00433E91" w:rsidRDefault="004347AC" w:rsidP="00656ABC">
          <w:pPr>
            <w:jc w:val="right"/>
            <w:rPr>
              <w:b/>
              <w:szCs w:val="16"/>
            </w:rPr>
          </w:pPr>
          <w:bookmarkStart w:id="88" w:name="bmkSymbols"/>
          <w:r>
            <w:rPr>
              <w:b/>
              <w:szCs w:val="16"/>
            </w:rPr>
            <w:t>G/SPS/N/EU/762</w:t>
          </w:r>
          <w:bookmarkEnd w:id="88"/>
        </w:p>
      </w:tc>
    </w:tr>
    <w:tr w:rsidR="00D73488" w14:paraId="3E46BEF1" w14:textId="77777777" w:rsidTr="00EE3CAF">
      <w:trPr>
        <w:trHeight w:val="240"/>
        <w:jc w:val="center"/>
      </w:trPr>
      <w:tc>
        <w:tcPr>
          <w:tcW w:w="3794" w:type="dxa"/>
          <w:vMerge/>
          <w:shd w:val="clear" w:color="auto" w:fill="FFFFFF"/>
          <w:tcMar>
            <w:left w:w="108" w:type="dxa"/>
            <w:right w:w="108" w:type="dxa"/>
          </w:tcMar>
          <w:vAlign w:val="center"/>
        </w:tcPr>
        <w:p w14:paraId="44BB2429" w14:textId="77777777" w:rsidR="00ED54E0" w:rsidRPr="00EA4725" w:rsidRDefault="00ED54E0" w:rsidP="00422B6F"/>
      </w:tc>
      <w:tc>
        <w:tcPr>
          <w:tcW w:w="5448" w:type="dxa"/>
          <w:gridSpan w:val="2"/>
          <w:shd w:val="clear" w:color="auto" w:fill="FFFFFF"/>
          <w:tcMar>
            <w:left w:w="108" w:type="dxa"/>
            <w:right w:w="108" w:type="dxa"/>
          </w:tcMar>
          <w:vAlign w:val="center"/>
        </w:tcPr>
        <w:p w14:paraId="5A670C11" w14:textId="77777777" w:rsidR="00ED54E0" w:rsidRPr="00EA4725" w:rsidRDefault="004347AC" w:rsidP="00422B6F">
          <w:pPr>
            <w:jc w:val="right"/>
            <w:rPr>
              <w:szCs w:val="16"/>
            </w:rPr>
          </w:pPr>
          <w:bookmarkStart w:id="89" w:name="spsDateDistribution"/>
          <w:bookmarkStart w:id="90" w:name="bmkDate"/>
          <w:bookmarkEnd w:id="89"/>
          <w:r w:rsidRPr="00EA4725">
            <w:rPr>
              <w:szCs w:val="16"/>
            </w:rPr>
            <w:t>8 May 2024</w:t>
          </w:r>
          <w:bookmarkEnd w:id="90"/>
        </w:p>
      </w:tc>
    </w:tr>
    <w:tr w:rsidR="00D73488" w14:paraId="67354D5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180A6E" w14:textId="6C20C6C4" w:rsidR="00ED54E0" w:rsidRPr="00EA4725" w:rsidRDefault="004347AC" w:rsidP="00422B6F">
          <w:pPr>
            <w:jc w:val="left"/>
            <w:rPr>
              <w:b/>
            </w:rPr>
          </w:pPr>
          <w:bookmarkStart w:id="91" w:name="bmkSerial"/>
          <w:r w:rsidRPr="00441372">
            <w:rPr>
              <w:color w:val="FF0000"/>
              <w:szCs w:val="16"/>
            </w:rPr>
            <w:t>(</w:t>
          </w:r>
          <w:bookmarkStart w:id="92" w:name="spsSerialNumber"/>
          <w:bookmarkEnd w:id="92"/>
          <w:r w:rsidR="001240EB">
            <w:rPr>
              <w:color w:val="FF0000"/>
              <w:szCs w:val="16"/>
            </w:rPr>
            <w:t>24-</w:t>
          </w:r>
          <w:r w:rsidR="003F53E6">
            <w:rPr>
              <w:color w:val="FF0000"/>
              <w:szCs w:val="16"/>
            </w:rPr>
            <w:t>3659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454E080" w14:textId="77777777" w:rsidR="00ED54E0" w:rsidRPr="00EA4725" w:rsidRDefault="004347A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73488" w14:paraId="0420744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E5D1D7" w14:textId="0444E84B" w:rsidR="00ED54E0" w:rsidRPr="00EA4725" w:rsidRDefault="004347A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5AFCB8B" w14:textId="57C4DA8D" w:rsidR="00ED54E0" w:rsidRPr="00441372" w:rsidRDefault="004347AC" w:rsidP="00EC687E">
          <w:pPr>
            <w:jc w:val="right"/>
            <w:rPr>
              <w:bCs/>
              <w:szCs w:val="18"/>
            </w:rPr>
          </w:pPr>
          <w:bookmarkStart w:id="95" w:name="bmkLanguage"/>
          <w:r>
            <w:rPr>
              <w:bCs/>
              <w:szCs w:val="18"/>
            </w:rPr>
            <w:t>Original: English</w:t>
          </w:r>
          <w:bookmarkEnd w:id="95"/>
        </w:p>
      </w:tc>
    </w:tr>
  </w:tbl>
  <w:p w14:paraId="6C1AB8E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282C52"/>
    <w:multiLevelType w:val="hybridMultilevel"/>
    <w:tmpl w:val="082A7B1A"/>
    <w:lvl w:ilvl="0" w:tplc="2C308A2C">
      <w:start w:val="1"/>
      <w:numFmt w:val="bullet"/>
      <w:lvlText w:val="-"/>
      <w:lvlJc w:val="left"/>
      <w:pPr>
        <w:ind w:left="720" w:hanging="360"/>
      </w:pPr>
      <w:rPr>
        <w:rFonts w:ascii="Symbol" w:hAnsi="Symbol" w:hint="default"/>
      </w:rPr>
    </w:lvl>
    <w:lvl w:ilvl="1" w:tplc="4E101E2C" w:tentative="1">
      <w:start w:val="1"/>
      <w:numFmt w:val="bullet"/>
      <w:lvlText w:val="o"/>
      <w:lvlJc w:val="left"/>
      <w:pPr>
        <w:ind w:left="1440" w:hanging="360"/>
      </w:pPr>
      <w:rPr>
        <w:rFonts w:ascii="Courier New" w:hAnsi="Courier New" w:cs="Courier New" w:hint="default"/>
      </w:rPr>
    </w:lvl>
    <w:lvl w:ilvl="2" w:tplc="F6CA375E" w:tentative="1">
      <w:start w:val="1"/>
      <w:numFmt w:val="bullet"/>
      <w:lvlText w:val=""/>
      <w:lvlJc w:val="left"/>
      <w:pPr>
        <w:ind w:left="2160" w:hanging="360"/>
      </w:pPr>
      <w:rPr>
        <w:rFonts w:ascii="Wingdings" w:hAnsi="Wingdings" w:hint="default"/>
      </w:rPr>
    </w:lvl>
    <w:lvl w:ilvl="3" w:tplc="90581A72" w:tentative="1">
      <w:start w:val="1"/>
      <w:numFmt w:val="bullet"/>
      <w:lvlText w:val=""/>
      <w:lvlJc w:val="left"/>
      <w:pPr>
        <w:ind w:left="2880" w:hanging="360"/>
      </w:pPr>
      <w:rPr>
        <w:rFonts w:ascii="Symbol" w:hAnsi="Symbol" w:hint="default"/>
      </w:rPr>
    </w:lvl>
    <w:lvl w:ilvl="4" w:tplc="DF789F08" w:tentative="1">
      <w:start w:val="1"/>
      <w:numFmt w:val="bullet"/>
      <w:lvlText w:val="o"/>
      <w:lvlJc w:val="left"/>
      <w:pPr>
        <w:ind w:left="3600" w:hanging="360"/>
      </w:pPr>
      <w:rPr>
        <w:rFonts w:ascii="Courier New" w:hAnsi="Courier New" w:cs="Courier New" w:hint="default"/>
      </w:rPr>
    </w:lvl>
    <w:lvl w:ilvl="5" w:tplc="8F5C2A92" w:tentative="1">
      <w:start w:val="1"/>
      <w:numFmt w:val="bullet"/>
      <w:lvlText w:val=""/>
      <w:lvlJc w:val="left"/>
      <w:pPr>
        <w:ind w:left="4320" w:hanging="360"/>
      </w:pPr>
      <w:rPr>
        <w:rFonts w:ascii="Wingdings" w:hAnsi="Wingdings" w:hint="default"/>
      </w:rPr>
    </w:lvl>
    <w:lvl w:ilvl="6" w:tplc="9BD85290" w:tentative="1">
      <w:start w:val="1"/>
      <w:numFmt w:val="bullet"/>
      <w:lvlText w:val=""/>
      <w:lvlJc w:val="left"/>
      <w:pPr>
        <w:ind w:left="5040" w:hanging="360"/>
      </w:pPr>
      <w:rPr>
        <w:rFonts w:ascii="Symbol" w:hAnsi="Symbol" w:hint="default"/>
      </w:rPr>
    </w:lvl>
    <w:lvl w:ilvl="7" w:tplc="F984E5F8" w:tentative="1">
      <w:start w:val="1"/>
      <w:numFmt w:val="bullet"/>
      <w:lvlText w:val="o"/>
      <w:lvlJc w:val="left"/>
      <w:pPr>
        <w:ind w:left="5760" w:hanging="360"/>
      </w:pPr>
      <w:rPr>
        <w:rFonts w:ascii="Courier New" w:hAnsi="Courier New" w:cs="Courier New" w:hint="default"/>
      </w:rPr>
    </w:lvl>
    <w:lvl w:ilvl="8" w:tplc="FE4EA89E"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B227D2A">
      <w:start w:val="1"/>
      <w:numFmt w:val="decimal"/>
      <w:pStyle w:val="SummaryText"/>
      <w:lvlText w:val="%1."/>
      <w:lvlJc w:val="left"/>
      <w:pPr>
        <w:ind w:left="360" w:hanging="360"/>
      </w:pPr>
    </w:lvl>
    <w:lvl w:ilvl="1" w:tplc="16E245B2" w:tentative="1">
      <w:start w:val="1"/>
      <w:numFmt w:val="lowerLetter"/>
      <w:lvlText w:val="%2."/>
      <w:lvlJc w:val="left"/>
      <w:pPr>
        <w:ind w:left="1080" w:hanging="360"/>
      </w:pPr>
    </w:lvl>
    <w:lvl w:ilvl="2" w:tplc="410829A6" w:tentative="1">
      <w:start w:val="1"/>
      <w:numFmt w:val="lowerRoman"/>
      <w:lvlText w:val="%3."/>
      <w:lvlJc w:val="right"/>
      <w:pPr>
        <w:ind w:left="1800" w:hanging="180"/>
      </w:pPr>
    </w:lvl>
    <w:lvl w:ilvl="3" w:tplc="1F44B86A" w:tentative="1">
      <w:start w:val="1"/>
      <w:numFmt w:val="decimal"/>
      <w:lvlText w:val="%4."/>
      <w:lvlJc w:val="left"/>
      <w:pPr>
        <w:ind w:left="2520" w:hanging="360"/>
      </w:pPr>
    </w:lvl>
    <w:lvl w:ilvl="4" w:tplc="610C6D46" w:tentative="1">
      <w:start w:val="1"/>
      <w:numFmt w:val="lowerLetter"/>
      <w:lvlText w:val="%5."/>
      <w:lvlJc w:val="left"/>
      <w:pPr>
        <w:ind w:left="3240" w:hanging="360"/>
      </w:pPr>
    </w:lvl>
    <w:lvl w:ilvl="5" w:tplc="B0D8D0E0" w:tentative="1">
      <w:start w:val="1"/>
      <w:numFmt w:val="lowerRoman"/>
      <w:lvlText w:val="%6."/>
      <w:lvlJc w:val="right"/>
      <w:pPr>
        <w:ind w:left="3960" w:hanging="180"/>
      </w:pPr>
    </w:lvl>
    <w:lvl w:ilvl="6" w:tplc="AD1E023A" w:tentative="1">
      <w:start w:val="1"/>
      <w:numFmt w:val="decimal"/>
      <w:lvlText w:val="%7."/>
      <w:lvlJc w:val="left"/>
      <w:pPr>
        <w:ind w:left="4680" w:hanging="360"/>
      </w:pPr>
    </w:lvl>
    <w:lvl w:ilvl="7" w:tplc="BEE6350E" w:tentative="1">
      <w:start w:val="1"/>
      <w:numFmt w:val="lowerLetter"/>
      <w:lvlText w:val="%8."/>
      <w:lvlJc w:val="left"/>
      <w:pPr>
        <w:ind w:left="5400" w:hanging="360"/>
      </w:pPr>
    </w:lvl>
    <w:lvl w:ilvl="8" w:tplc="CCC43848" w:tentative="1">
      <w:start w:val="1"/>
      <w:numFmt w:val="lowerRoman"/>
      <w:lvlText w:val="%9."/>
      <w:lvlJc w:val="right"/>
      <w:pPr>
        <w:ind w:left="6120" w:hanging="180"/>
      </w:pPr>
    </w:lvl>
  </w:abstractNum>
  <w:num w:numId="1" w16cid:durableId="92937900">
    <w:abstractNumId w:val="9"/>
  </w:num>
  <w:num w:numId="2" w16cid:durableId="307905256">
    <w:abstractNumId w:val="7"/>
  </w:num>
  <w:num w:numId="3" w16cid:durableId="581795292">
    <w:abstractNumId w:val="6"/>
  </w:num>
  <w:num w:numId="4" w16cid:durableId="463886591">
    <w:abstractNumId w:val="5"/>
  </w:num>
  <w:num w:numId="5" w16cid:durableId="328338339">
    <w:abstractNumId w:val="4"/>
  </w:num>
  <w:num w:numId="6" w16cid:durableId="70932044">
    <w:abstractNumId w:val="13"/>
  </w:num>
  <w:num w:numId="7" w16cid:durableId="1425609792">
    <w:abstractNumId w:val="12"/>
  </w:num>
  <w:num w:numId="8" w16cid:durableId="455872551">
    <w:abstractNumId w:val="11"/>
  </w:num>
  <w:num w:numId="9" w16cid:durableId="1177764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4461978">
    <w:abstractNumId w:val="14"/>
  </w:num>
  <w:num w:numId="11" w16cid:durableId="707025203">
    <w:abstractNumId w:val="8"/>
  </w:num>
  <w:num w:numId="12" w16cid:durableId="1607158427">
    <w:abstractNumId w:val="3"/>
  </w:num>
  <w:num w:numId="13" w16cid:durableId="1975478603">
    <w:abstractNumId w:val="2"/>
  </w:num>
  <w:num w:numId="14" w16cid:durableId="223951574">
    <w:abstractNumId w:val="1"/>
  </w:num>
  <w:num w:numId="15" w16cid:durableId="288972476">
    <w:abstractNumId w:val="0"/>
  </w:num>
  <w:num w:numId="16" w16cid:durableId="1807039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1319"/>
    <w:rsid w:val="000F4960"/>
    <w:rsid w:val="001062CE"/>
    <w:rsid w:val="0011356B"/>
    <w:rsid w:val="001240EB"/>
    <w:rsid w:val="001277F1"/>
    <w:rsid w:val="00127BB0"/>
    <w:rsid w:val="0013337F"/>
    <w:rsid w:val="00157B94"/>
    <w:rsid w:val="00182B84"/>
    <w:rsid w:val="001E006E"/>
    <w:rsid w:val="001E291F"/>
    <w:rsid w:val="001E596A"/>
    <w:rsid w:val="00233408"/>
    <w:rsid w:val="0027067B"/>
    <w:rsid w:val="00272C98"/>
    <w:rsid w:val="002A67C2"/>
    <w:rsid w:val="002C2634"/>
    <w:rsid w:val="00334D8B"/>
    <w:rsid w:val="003506B8"/>
    <w:rsid w:val="0035602E"/>
    <w:rsid w:val="003572B4"/>
    <w:rsid w:val="003817C7"/>
    <w:rsid w:val="00395125"/>
    <w:rsid w:val="003E2958"/>
    <w:rsid w:val="003F53E6"/>
    <w:rsid w:val="00422B6F"/>
    <w:rsid w:val="00423377"/>
    <w:rsid w:val="00424ADE"/>
    <w:rsid w:val="00433E91"/>
    <w:rsid w:val="004347AC"/>
    <w:rsid w:val="00441372"/>
    <w:rsid w:val="00467032"/>
    <w:rsid w:val="0046754A"/>
    <w:rsid w:val="004B39D5"/>
    <w:rsid w:val="004E4B52"/>
    <w:rsid w:val="004F203A"/>
    <w:rsid w:val="005336B8"/>
    <w:rsid w:val="00547B5F"/>
    <w:rsid w:val="00595E9A"/>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73B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262F"/>
    <w:rsid w:val="00A74017"/>
    <w:rsid w:val="00AA332C"/>
    <w:rsid w:val="00AC27F8"/>
    <w:rsid w:val="00AD4C72"/>
    <w:rsid w:val="00AD7AA7"/>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16F8"/>
    <w:rsid w:val="00C65C0C"/>
    <w:rsid w:val="00C808FC"/>
    <w:rsid w:val="00C863EB"/>
    <w:rsid w:val="00CA62A5"/>
    <w:rsid w:val="00CD7D97"/>
    <w:rsid w:val="00CE3EE6"/>
    <w:rsid w:val="00CE4BA1"/>
    <w:rsid w:val="00CF36C6"/>
    <w:rsid w:val="00D000C7"/>
    <w:rsid w:val="00D52A9D"/>
    <w:rsid w:val="00D55AAD"/>
    <w:rsid w:val="00D66911"/>
    <w:rsid w:val="00D73488"/>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2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433E91"/>
    <w:rPr>
      <w:rFonts w:ascii="Verdana" w:hAnsi="Verdana"/>
      <w:sz w:val="18"/>
      <w:szCs w:val="22"/>
      <w:lang w:eastAsia="en-US"/>
    </w:rPr>
  </w:style>
  <w:style w:type="character" w:customStyle="1" w:styleId="UnresolvedMention1">
    <w:name w:val="Unresolved Mention1"/>
    <w:basedOn w:val="DefaultParagraphFont"/>
    <w:uiPriority w:val="99"/>
    <w:rsid w:val="007D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3129_01_e.pdf" TargetMode="External"/><Relationship Id="rId13" Type="http://schemas.openxmlformats.org/officeDocument/2006/relationships/hyperlink" Target="http://www.fao.org/fao-who-codexalimentarius/committees/committee/related-meetings/en/?committee=CCP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ao.org/fao-who-codexalimentarius/codex-texts/dbs/pestres/pesticides/en/" TargetMode="External"/><Relationship Id="rId17" Type="http://schemas.openxmlformats.org/officeDocument/2006/relationships/hyperlink" Target="mailto:sps@ec.europ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ps@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_impl/2022/782/o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903/j.efsa.2021.6684" TargetMode="External"/><Relationship Id="rId23" Type="http://schemas.openxmlformats.org/officeDocument/2006/relationships/footer" Target="footer3.xml"/><Relationship Id="rId10" Type="http://schemas.openxmlformats.org/officeDocument/2006/relationships/hyperlink" Target="https://members.wto.org/crnattachments/2024/SPS/EEC/24_03129_03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4/SPS/EEC/24_03129_02_e.pdf" TargetMode="External"/><Relationship Id="rId14" Type="http://schemas.openxmlformats.org/officeDocument/2006/relationships/hyperlink" Target="http://eur-lex.europa.eu/legal-content/EN/ALL/?uri=CELEX%3A32005R0396"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f2d6be5e-bc25-4d35-8ade-306be682e998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20C665A-49A3-410C-AF18-486AF87864E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992</Words>
  <Characters>6146</Characters>
  <Application>Microsoft Office Word</Application>
  <DocSecurity>0</DocSecurity>
  <Lines>128</Lines>
  <Paragraphs>88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2017-07-03T11:19:00Z</dcterms:created>
  <dcterms:modified xsi:type="dcterms:W3CDTF">2024-05-08T12:16:00Z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G/SPS/N/EU/762</vt:lpwstr>
  </property>
  <property fmtid="{D5CDD505-2E9C-101B-9397-08002B2CF9AE}" pid="3" name="TitusGUID">
    <vt:lpwstr>f2d6be5e-bc25-4d35-8ade-306be682e998</vt:lpwstr>
  </property>
  <property fmtid="{D5CDD505-2E9C-101B-9397-08002B2CF9AE}" pid="4" name="WTOCLASSIFICATION">
    <vt:lpwstr>WTO OFFICIAL</vt:lpwstr>
  </property>
</Properties>
</file>