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C8A6" w14:textId="77777777" w:rsidR="00EA4725" w:rsidRPr="00441372" w:rsidRDefault="001D166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128DB" w14:paraId="0252457B" w14:textId="77777777" w:rsidTr="00F3021D">
        <w:tc>
          <w:tcPr>
            <w:tcW w:w="707" w:type="dxa"/>
            <w:tcBorders>
              <w:bottom w:val="single" w:sz="6" w:space="0" w:color="auto"/>
            </w:tcBorders>
            <w:shd w:val="clear" w:color="auto" w:fill="auto"/>
          </w:tcPr>
          <w:p w14:paraId="15FA7687" w14:textId="77777777" w:rsidR="00EA4725" w:rsidRPr="00441372" w:rsidRDefault="001D166E" w:rsidP="00441372">
            <w:pPr>
              <w:spacing w:before="120" w:after="120"/>
              <w:jc w:val="left"/>
            </w:pPr>
            <w:r w:rsidRPr="00441372">
              <w:rPr>
                <w:b/>
              </w:rPr>
              <w:t>1.</w:t>
            </w:r>
          </w:p>
        </w:tc>
        <w:tc>
          <w:tcPr>
            <w:tcW w:w="8320" w:type="dxa"/>
            <w:tcBorders>
              <w:bottom w:val="single" w:sz="6" w:space="0" w:color="auto"/>
            </w:tcBorders>
            <w:shd w:val="clear" w:color="auto" w:fill="auto"/>
          </w:tcPr>
          <w:p w14:paraId="44A1D3F0" w14:textId="77777777" w:rsidR="00EA4725" w:rsidRPr="00441372" w:rsidRDefault="001D166E" w:rsidP="00441372">
            <w:pPr>
              <w:spacing w:before="120" w:after="120"/>
            </w:pPr>
            <w:r w:rsidRPr="00441372">
              <w:rPr>
                <w:b/>
              </w:rPr>
              <w:t>Notifying Member:</w:t>
            </w:r>
            <w:r w:rsidRPr="0065690F">
              <w:t xml:space="preserve"> </w:t>
            </w:r>
            <w:r w:rsidRPr="0065690F">
              <w:rPr>
                <w:u w:val="single"/>
              </w:rPr>
              <w:t>EUROPEAN UNION</w:t>
            </w:r>
          </w:p>
          <w:p w14:paraId="0F4C6F30" w14:textId="77777777" w:rsidR="00EA4725" w:rsidRPr="00441372" w:rsidRDefault="001D166E" w:rsidP="00441372">
            <w:pPr>
              <w:spacing w:after="120"/>
            </w:pPr>
            <w:r w:rsidRPr="00441372">
              <w:rPr>
                <w:b/>
                <w:bCs/>
              </w:rPr>
              <w:t>If applicable, name of local government involved:</w:t>
            </w:r>
            <w:r w:rsidRPr="0065690F">
              <w:rPr>
                <w:bCs/>
              </w:rPr>
              <w:t xml:space="preserve"> </w:t>
            </w:r>
          </w:p>
        </w:tc>
      </w:tr>
      <w:tr w:rsidR="007128DB" w14:paraId="0049EEE1" w14:textId="77777777" w:rsidTr="00F3021D">
        <w:tc>
          <w:tcPr>
            <w:tcW w:w="707" w:type="dxa"/>
            <w:tcBorders>
              <w:top w:val="single" w:sz="6" w:space="0" w:color="auto"/>
              <w:bottom w:val="single" w:sz="6" w:space="0" w:color="auto"/>
            </w:tcBorders>
            <w:shd w:val="clear" w:color="auto" w:fill="auto"/>
          </w:tcPr>
          <w:p w14:paraId="29402646" w14:textId="77777777" w:rsidR="00EA4725" w:rsidRPr="00441372" w:rsidRDefault="001D166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D0913D1" w14:textId="77777777" w:rsidR="00EA4725" w:rsidRPr="00441372" w:rsidRDefault="001D166E" w:rsidP="00441372">
            <w:pPr>
              <w:spacing w:before="120" w:after="120"/>
            </w:pPr>
            <w:r w:rsidRPr="00441372">
              <w:rPr>
                <w:b/>
              </w:rPr>
              <w:t>Agency responsible:</w:t>
            </w:r>
            <w:r w:rsidRPr="0065690F">
              <w:t xml:space="preserve"> European Commission, Health and Food Safety Directorate-General</w:t>
            </w:r>
          </w:p>
        </w:tc>
      </w:tr>
      <w:tr w:rsidR="007128DB" w14:paraId="320AB6B1" w14:textId="77777777" w:rsidTr="00F3021D">
        <w:tc>
          <w:tcPr>
            <w:tcW w:w="707" w:type="dxa"/>
            <w:tcBorders>
              <w:top w:val="single" w:sz="6" w:space="0" w:color="auto"/>
              <w:bottom w:val="single" w:sz="6" w:space="0" w:color="auto"/>
            </w:tcBorders>
            <w:shd w:val="clear" w:color="auto" w:fill="auto"/>
          </w:tcPr>
          <w:p w14:paraId="2F5DD8D3" w14:textId="77777777" w:rsidR="00EA4725" w:rsidRPr="00441372" w:rsidRDefault="001D166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E53DB24" w14:textId="77777777" w:rsidR="00EA4725" w:rsidRPr="00441372" w:rsidRDefault="001D166E"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Food products</w:t>
            </w:r>
          </w:p>
        </w:tc>
      </w:tr>
      <w:tr w:rsidR="007128DB" w14:paraId="157A26A5" w14:textId="77777777" w:rsidTr="00F3021D">
        <w:tc>
          <w:tcPr>
            <w:tcW w:w="707" w:type="dxa"/>
            <w:tcBorders>
              <w:top w:val="single" w:sz="6" w:space="0" w:color="auto"/>
              <w:bottom w:val="single" w:sz="6" w:space="0" w:color="auto"/>
            </w:tcBorders>
            <w:shd w:val="clear" w:color="auto" w:fill="auto"/>
          </w:tcPr>
          <w:p w14:paraId="600F6A22" w14:textId="77777777" w:rsidR="00EA4725" w:rsidRPr="00441372" w:rsidRDefault="001D166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A677F48" w14:textId="77777777" w:rsidR="00EA4725" w:rsidRPr="00441372" w:rsidRDefault="001D166E" w:rsidP="00441372">
            <w:pPr>
              <w:spacing w:before="120" w:after="120"/>
              <w:rPr>
                <w:b/>
                <w:bCs/>
              </w:rPr>
            </w:pPr>
            <w:r w:rsidRPr="00441372">
              <w:rPr>
                <w:b/>
              </w:rPr>
              <w:t>Regions or countries likely to be affected, to the extent relevant or practicable</w:t>
            </w:r>
            <w:r w:rsidRPr="00441372">
              <w:rPr>
                <w:b/>
                <w:bCs/>
              </w:rPr>
              <w:t>:</w:t>
            </w:r>
          </w:p>
          <w:p w14:paraId="7F8ABA54" w14:textId="77777777" w:rsidR="00EA4725" w:rsidRPr="00441372" w:rsidRDefault="001D166E" w:rsidP="00441372">
            <w:pPr>
              <w:spacing w:after="120"/>
              <w:ind w:left="607" w:hanging="607"/>
              <w:rPr>
                <w:b/>
              </w:rPr>
            </w:pPr>
            <w:r w:rsidRPr="00441372">
              <w:rPr>
                <w:b/>
              </w:rPr>
              <w:t>[X]</w:t>
            </w:r>
            <w:r w:rsidRPr="00441372">
              <w:rPr>
                <w:b/>
              </w:rPr>
              <w:tab/>
              <w:t>All trading partners</w:t>
            </w:r>
            <w:r w:rsidRPr="0065690F">
              <w:t xml:space="preserve"> </w:t>
            </w:r>
          </w:p>
          <w:p w14:paraId="081B2C2B" w14:textId="77777777" w:rsidR="00EA4725" w:rsidRPr="00441372" w:rsidRDefault="001D166E"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7128DB" w14:paraId="3E78A490" w14:textId="77777777" w:rsidTr="00F3021D">
        <w:tc>
          <w:tcPr>
            <w:tcW w:w="707" w:type="dxa"/>
            <w:tcBorders>
              <w:top w:val="single" w:sz="6" w:space="0" w:color="auto"/>
              <w:bottom w:val="single" w:sz="6" w:space="0" w:color="auto"/>
            </w:tcBorders>
            <w:shd w:val="clear" w:color="auto" w:fill="auto"/>
          </w:tcPr>
          <w:p w14:paraId="0A294430" w14:textId="77777777" w:rsidR="00EA4725" w:rsidRPr="00441372" w:rsidRDefault="001D166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C299A69" w14:textId="77777777" w:rsidR="00EA4725" w:rsidRPr="00441372" w:rsidRDefault="001D166E" w:rsidP="00441372">
            <w:pPr>
              <w:spacing w:before="120" w:after="120"/>
            </w:pPr>
            <w:r w:rsidRPr="00441372">
              <w:rPr>
                <w:b/>
              </w:rPr>
              <w:t>Title of the notified document:</w:t>
            </w:r>
            <w:r w:rsidRPr="0065690F">
              <w:t xml:space="preserve"> Draft Commission Regulation (EU) amending Annex III to Regulation (EC) No 1925/2006 of the European Parliament and of the Council as regards certain botanical species containing hydroxyanthracene derivatives (Text with EEA relevance)</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5</w:t>
            </w:r>
          </w:p>
          <w:p w14:paraId="13159819" w14:textId="77777777" w:rsidR="00EA4725" w:rsidRPr="00441372" w:rsidRDefault="001D166E" w:rsidP="00441372">
            <w:pPr>
              <w:spacing w:after="120"/>
            </w:pPr>
            <w:hyperlink r:id="rId8" w:tgtFrame="_blank" w:history="1">
              <w:r w:rsidRPr="00441372">
                <w:rPr>
                  <w:color w:val="0000FF"/>
                  <w:u w:val="single"/>
                </w:rPr>
                <w:t>https://members.wto.org/crnattachments/2024/SPS/EEC/24_05893_00_e.pdf</w:t>
              </w:r>
            </w:hyperlink>
          </w:p>
        </w:tc>
      </w:tr>
      <w:tr w:rsidR="007128DB" w14:paraId="6C8FF6E0" w14:textId="77777777" w:rsidTr="00F3021D">
        <w:tc>
          <w:tcPr>
            <w:tcW w:w="707" w:type="dxa"/>
            <w:tcBorders>
              <w:top w:val="single" w:sz="6" w:space="0" w:color="auto"/>
              <w:bottom w:val="single" w:sz="6" w:space="0" w:color="auto"/>
            </w:tcBorders>
            <w:shd w:val="clear" w:color="auto" w:fill="auto"/>
          </w:tcPr>
          <w:p w14:paraId="354E0BF8" w14:textId="77777777" w:rsidR="00EA4725" w:rsidRPr="00441372" w:rsidRDefault="001D166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E2DF2E7" w14:textId="77777777" w:rsidR="00EA4725" w:rsidRPr="00441372" w:rsidRDefault="001D166E" w:rsidP="00441372">
            <w:pPr>
              <w:spacing w:before="120" w:after="120"/>
            </w:pPr>
            <w:r w:rsidRPr="00441372">
              <w:rPr>
                <w:b/>
              </w:rPr>
              <w:t>Description of content:</w:t>
            </w:r>
            <w:r w:rsidRPr="0065690F">
              <w:t xml:space="preserve"> This draft </w:t>
            </w:r>
            <w:r w:rsidRPr="0065690F">
              <w:t>Commission Regulation concerns the prohibition of use in food of certain plant preparations containing hydroxyanthracene derivatives based on the scientific opinion of EFSA and following a period of Union scrutiny during which food business operators, or any other interested parties, may submit scientific data to demonstrate the safety of plant preparations in question.</w:t>
            </w:r>
          </w:p>
          <w:p w14:paraId="13CC382D" w14:textId="77777777" w:rsidR="00470181" w:rsidRPr="0065690F" w:rsidRDefault="001D166E" w:rsidP="00441372">
            <w:pPr>
              <w:spacing w:before="120" w:after="120"/>
            </w:pPr>
            <w:r w:rsidRPr="0065690F">
              <w:t>On 22 November 2017, the European Food Safety Authority (EFSA) adopted a scientific opinion on the evaluation of the safety of hydroxyanthracene derivatives for use in food. In that opinion it concluded that there is a possibility of harmful effects on health associated with the use of Rheum, Cassia and Rhamnus and their preparations in food, but scientific uncertainty persists. Consequently, pursuant to the procedure laid down in Article 8(2) of Regulation (EC) No 1925/2006, the plant preparations concerne</w:t>
            </w:r>
            <w:r w:rsidRPr="0065690F">
              <w:t>d were put under Union scrutiny by means of Regulation (EU) 2021/468 of 18 March 2021 for a period of four years from the entry into force of that Regulation, which allowed interested parties to provide EFSA with evidence of safety within 24 months.</w:t>
            </w:r>
          </w:p>
          <w:p w14:paraId="1C93C8ED" w14:textId="77777777" w:rsidR="00470181" w:rsidRPr="0065690F" w:rsidRDefault="001D166E" w:rsidP="00441372">
            <w:pPr>
              <w:spacing w:before="120" w:after="120"/>
            </w:pPr>
            <w:r w:rsidRPr="0065690F">
              <w:t xml:space="preserve">On 20 March 2024, EFSA adopted a scientific opinion on additional scientific data related to the safety of preparations of </w:t>
            </w:r>
            <w:r w:rsidRPr="0065690F">
              <w:rPr>
                <w:i/>
                <w:iCs/>
              </w:rPr>
              <w:t>Rheum palmatum</w:t>
            </w:r>
            <w:r w:rsidRPr="0065690F">
              <w:t xml:space="preserve"> L., </w:t>
            </w:r>
            <w:r w:rsidRPr="0065690F">
              <w:rPr>
                <w:i/>
                <w:iCs/>
              </w:rPr>
              <w:t xml:space="preserve">Rheum officinale </w:t>
            </w:r>
            <w:r w:rsidRPr="0065690F">
              <w:t xml:space="preserve">Baill. and their hybrids, </w:t>
            </w:r>
            <w:r w:rsidRPr="0065690F">
              <w:rPr>
                <w:i/>
                <w:iCs/>
              </w:rPr>
              <w:t>Rhamnus purshiana</w:t>
            </w:r>
            <w:r w:rsidRPr="0065690F">
              <w:t xml:space="preserve"> DC., </w:t>
            </w:r>
            <w:r w:rsidRPr="0065690F">
              <w:rPr>
                <w:i/>
                <w:iCs/>
              </w:rPr>
              <w:t>Rhamnus frangula</w:t>
            </w:r>
            <w:r w:rsidRPr="0065690F">
              <w:t xml:space="preserve"> L., and</w:t>
            </w:r>
            <w:r w:rsidRPr="0065690F">
              <w:rPr>
                <w:i/>
                <w:iCs/>
              </w:rPr>
              <w:t xml:space="preserve"> Cassia senna</w:t>
            </w:r>
            <w:r w:rsidRPr="0065690F">
              <w:t xml:space="preserve"> L. submitted pursuant to Article 8(4) of Regulation (EC) No 1925/2006. In its opinion, EFSA concluded that the safety of plant preparations under evaluation cannot be established based on the submitted studies. Therefore, pursuant to the procedure of Article 8(5) of Regulation (EC) No 1925/2006, the plant preparations concerned should be included in Part A of Annex III to Regulation (EC</w:t>
            </w:r>
            <w:r w:rsidRPr="0065690F">
              <w:t>) No 1925/2006, which means that their use in food will be prohibited.</w:t>
            </w:r>
          </w:p>
        </w:tc>
      </w:tr>
      <w:tr w:rsidR="007128DB" w14:paraId="0788C068" w14:textId="77777777" w:rsidTr="00F3021D">
        <w:tc>
          <w:tcPr>
            <w:tcW w:w="707" w:type="dxa"/>
            <w:tcBorders>
              <w:top w:val="single" w:sz="6" w:space="0" w:color="auto"/>
              <w:bottom w:val="single" w:sz="6" w:space="0" w:color="auto"/>
            </w:tcBorders>
            <w:shd w:val="clear" w:color="auto" w:fill="auto"/>
          </w:tcPr>
          <w:p w14:paraId="69FED3DA" w14:textId="77777777" w:rsidR="00EA4725" w:rsidRPr="00441372" w:rsidRDefault="001D166E" w:rsidP="00573CF2">
            <w:pPr>
              <w:keepNext/>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7012425C" w14:textId="77777777" w:rsidR="00EA4725" w:rsidRPr="00441372" w:rsidRDefault="001D166E" w:rsidP="00573CF2">
            <w:pPr>
              <w:keepNext/>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7128DB" w14:paraId="19FA2AD0" w14:textId="77777777" w:rsidTr="00F3021D">
        <w:tc>
          <w:tcPr>
            <w:tcW w:w="707" w:type="dxa"/>
            <w:tcBorders>
              <w:top w:val="single" w:sz="6" w:space="0" w:color="auto"/>
              <w:bottom w:val="single" w:sz="6" w:space="0" w:color="auto"/>
            </w:tcBorders>
            <w:shd w:val="clear" w:color="auto" w:fill="auto"/>
          </w:tcPr>
          <w:p w14:paraId="244A085C" w14:textId="77777777" w:rsidR="00EA4725" w:rsidRPr="00441372" w:rsidRDefault="001D166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72F7C33" w14:textId="77777777" w:rsidR="00EA4725" w:rsidRPr="00441372" w:rsidRDefault="001D166E" w:rsidP="00441372">
            <w:pPr>
              <w:spacing w:before="120" w:after="120"/>
            </w:pPr>
            <w:r w:rsidRPr="00441372">
              <w:rPr>
                <w:b/>
              </w:rPr>
              <w:t xml:space="preserve">Is </w:t>
            </w:r>
            <w:r w:rsidRPr="00441372">
              <w:rPr>
                <w:b/>
              </w:rPr>
              <w:t>there a relevant international standard? If so, identify the standard:</w:t>
            </w:r>
          </w:p>
          <w:p w14:paraId="03BC9503" w14:textId="77777777" w:rsidR="00EA4725" w:rsidRPr="00441372" w:rsidRDefault="001D166E"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74AD3774" w14:textId="77777777" w:rsidR="00EA4725" w:rsidRPr="00441372" w:rsidRDefault="001D166E"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34355327" w14:textId="77777777" w:rsidR="00EA4725" w:rsidRPr="00441372" w:rsidRDefault="001D166E"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7CC3DC4D" w14:textId="77777777" w:rsidR="00EA4725" w:rsidRPr="00441372" w:rsidRDefault="001D166E" w:rsidP="00441372">
            <w:pPr>
              <w:spacing w:after="120"/>
              <w:ind w:left="720" w:hanging="720"/>
              <w:rPr>
                <w:b/>
              </w:rPr>
            </w:pPr>
            <w:r w:rsidRPr="00441372">
              <w:rPr>
                <w:b/>
              </w:rPr>
              <w:t>[X]</w:t>
            </w:r>
            <w:r w:rsidRPr="00441372">
              <w:rPr>
                <w:b/>
              </w:rPr>
              <w:tab/>
              <w:t>None</w:t>
            </w:r>
          </w:p>
          <w:p w14:paraId="00E76DB6" w14:textId="77777777" w:rsidR="00EA4725" w:rsidRPr="00441372" w:rsidRDefault="001D166E" w:rsidP="00441372">
            <w:pPr>
              <w:spacing w:after="120"/>
              <w:rPr>
                <w:b/>
              </w:rPr>
            </w:pPr>
            <w:r w:rsidRPr="00441372">
              <w:rPr>
                <w:b/>
              </w:rPr>
              <w:t xml:space="preserve">Does this proposed regulation conform to the relevant international standard? </w:t>
            </w:r>
          </w:p>
          <w:p w14:paraId="49689CC8" w14:textId="77777777" w:rsidR="00EA4725" w:rsidRPr="00441372" w:rsidRDefault="001D166E" w:rsidP="00441372">
            <w:pPr>
              <w:spacing w:after="120"/>
              <w:rPr>
                <w:b/>
              </w:rPr>
            </w:pPr>
            <w:r w:rsidRPr="00441372">
              <w:rPr>
                <w:b/>
              </w:rPr>
              <w:t>[ ] Yes   [ ] No</w:t>
            </w:r>
          </w:p>
          <w:p w14:paraId="4D53914E" w14:textId="77777777" w:rsidR="00EA4725" w:rsidRPr="00441372" w:rsidRDefault="001D166E" w:rsidP="00441372">
            <w:pPr>
              <w:spacing w:after="120"/>
            </w:pPr>
            <w:r w:rsidRPr="00441372">
              <w:rPr>
                <w:b/>
              </w:rPr>
              <w:t>If no, describe, whenever possible, how and why it deviates from the international standard:</w:t>
            </w:r>
            <w:r w:rsidRPr="0065690F">
              <w:t xml:space="preserve"> </w:t>
            </w:r>
          </w:p>
        </w:tc>
      </w:tr>
      <w:tr w:rsidR="007128DB" w14:paraId="6E35D5F8" w14:textId="77777777" w:rsidTr="00F3021D">
        <w:tc>
          <w:tcPr>
            <w:tcW w:w="707" w:type="dxa"/>
            <w:tcBorders>
              <w:top w:val="single" w:sz="6" w:space="0" w:color="auto"/>
              <w:bottom w:val="single" w:sz="6" w:space="0" w:color="auto"/>
            </w:tcBorders>
            <w:shd w:val="clear" w:color="auto" w:fill="auto"/>
          </w:tcPr>
          <w:p w14:paraId="2D49405C" w14:textId="77777777" w:rsidR="00EA4725" w:rsidRPr="00441372" w:rsidRDefault="001D166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F1ED390" w14:textId="77777777" w:rsidR="00573CF2" w:rsidRDefault="001D166E" w:rsidP="00441372">
            <w:pPr>
              <w:spacing w:before="120"/>
            </w:pPr>
            <w:r w:rsidRPr="00441372">
              <w:rPr>
                <w:b/>
              </w:rPr>
              <w:t>Other relevant documents and language(s) in which these are available:</w:t>
            </w:r>
            <w:r w:rsidRPr="0065690F">
              <w:t xml:space="preserve"> </w:t>
            </w:r>
          </w:p>
          <w:p w14:paraId="596B3BCD" w14:textId="7195A0DB" w:rsidR="00573CF2" w:rsidRDefault="001D166E" w:rsidP="00573CF2">
            <w:pPr>
              <w:numPr>
                <w:ilvl w:val="0"/>
                <w:numId w:val="16"/>
              </w:numPr>
              <w:spacing w:before="120"/>
              <w:ind w:left="368" w:hanging="357"/>
            </w:pPr>
            <w:r w:rsidRPr="0065690F">
              <w:t>Regulation (EU) No 1925/2006 of the European Parliament and of the Council of 20</w:t>
            </w:r>
            <w:r>
              <w:t> </w:t>
            </w:r>
            <w:r w:rsidRPr="0065690F">
              <w:t>December 2006 on the addition of vitamins and minerals and of certain other substances to foods</w:t>
            </w:r>
          </w:p>
          <w:p w14:paraId="6E36D83E" w14:textId="5A63FD2D" w:rsidR="00EA4725" w:rsidRPr="00441372" w:rsidRDefault="001D166E" w:rsidP="00573CF2">
            <w:pPr>
              <w:ind w:left="374"/>
            </w:pPr>
            <w:hyperlink r:id="rId9" w:history="1">
              <w:r w:rsidRPr="0065690F">
                <w:rPr>
                  <w:color w:val="0000FF"/>
                  <w:u w:val="single"/>
                </w:rPr>
                <w:t>http://eurlex.europa.eu/LexUriServ/LexUriServ.do?uri=OJ:L:2006:404:0026:0038:EN:PDF</w:t>
              </w:r>
            </w:hyperlink>
          </w:p>
          <w:p w14:paraId="4912C606" w14:textId="77777777" w:rsidR="00470181" w:rsidRPr="0065690F" w:rsidRDefault="001D166E" w:rsidP="00573CF2">
            <w:pPr>
              <w:numPr>
                <w:ilvl w:val="0"/>
                <w:numId w:val="16"/>
              </w:numPr>
              <w:ind w:left="372"/>
            </w:pPr>
            <w:r w:rsidRPr="0065690F">
              <w:t xml:space="preserve">Scientific opinion on additional scientific data related to the safety of preparations of </w:t>
            </w:r>
            <w:r w:rsidRPr="0065690F">
              <w:rPr>
                <w:i/>
                <w:iCs/>
              </w:rPr>
              <w:t>Rheum palmatum</w:t>
            </w:r>
            <w:r w:rsidRPr="0065690F">
              <w:t xml:space="preserve"> L., </w:t>
            </w:r>
            <w:r w:rsidRPr="0065690F">
              <w:rPr>
                <w:i/>
                <w:iCs/>
              </w:rPr>
              <w:t>Rheum officinale</w:t>
            </w:r>
            <w:r w:rsidRPr="0065690F">
              <w:t xml:space="preserve"> Baill. and their hybrids, </w:t>
            </w:r>
            <w:r w:rsidRPr="0065690F">
              <w:rPr>
                <w:i/>
                <w:iCs/>
              </w:rPr>
              <w:t>Rhamnus purshiana</w:t>
            </w:r>
            <w:r w:rsidRPr="0065690F">
              <w:t xml:space="preserve"> DC., </w:t>
            </w:r>
            <w:r w:rsidRPr="0065690F">
              <w:rPr>
                <w:i/>
                <w:iCs/>
              </w:rPr>
              <w:t>Rhamnus frangula</w:t>
            </w:r>
            <w:r w:rsidRPr="0065690F">
              <w:t xml:space="preserve"> L. and </w:t>
            </w:r>
            <w:r w:rsidRPr="0065690F">
              <w:rPr>
                <w:i/>
                <w:iCs/>
              </w:rPr>
              <w:t>Cassia senna</w:t>
            </w:r>
            <w:r w:rsidRPr="0065690F">
              <w:t xml:space="preserve"> L., submitted pursuant to Article 8(4) of Regulation (EC) No 1925/2006. </w:t>
            </w:r>
            <w:r w:rsidRPr="0065690F">
              <w:rPr>
                <w:i/>
                <w:iCs/>
              </w:rPr>
              <w:t xml:space="preserve">EFSA Journal </w:t>
            </w:r>
            <w:r w:rsidRPr="0065690F">
              <w:t>2024; 22(5):e8766</w:t>
            </w:r>
          </w:p>
          <w:p w14:paraId="7043A5A0" w14:textId="5B483B5D" w:rsidR="00470181" w:rsidRPr="0065690F" w:rsidRDefault="001D166E" w:rsidP="00441372">
            <w:pPr>
              <w:spacing w:after="120"/>
            </w:pPr>
            <w:r w:rsidRPr="0065690F">
              <w:rPr>
                <w:bCs/>
              </w:rPr>
              <w:t>(available in English)</w:t>
            </w:r>
          </w:p>
        </w:tc>
      </w:tr>
      <w:tr w:rsidR="007128DB" w14:paraId="54578068" w14:textId="77777777" w:rsidTr="00F3021D">
        <w:tc>
          <w:tcPr>
            <w:tcW w:w="707" w:type="dxa"/>
            <w:tcBorders>
              <w:top w:val="single" w:sz="6" w:space="0" w:color="auto"/>
              <w:bottom w:val="single" w:sz="6" w:space="0" w:color="auto"/>
            </w:tcBorders>
            <w:shd w:val="clear" w:color="auto" w:fill="auto"/>
          </w:tcPr>
          <w:p w14:paraId="225E8C33" w14:textId="77777777" w:rsidR="00EA4725" w:rsidRPr="00441372" w:rsidRDefault="001D166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03532CE" w14:textId="77777777" w:rsidR="00EA4725" w:rsidRPr="00441372" w:rsidRDefault="001D166E" w:rsidP="00441372">
            <w:pPr>
              <w:spacing w:before="120" w:after="120"/>
            </w:pPr>
            <w:r w:rsidRPr="00441372">
              <w:rPr>
                <w:b/>
              </w:rPr>
              <w:t xml:space="preserve">Proposed date of adoption </w:t>
            </w:r>
            <w:r w:rsidRPr="00441372">
              <w:rPr>
                <w:b/>
                <w:i/>
              </w:rPr>
              <w:t>(dd/mm/yy)</w:t>
            </w:r>
            <w:r w:rsidRPr="00441372">
              <w:rPr>
                <w:b/>
              </w:rPr>
              <w:t>:</w:t>
            </w:r>
            <w:r w:rsidRPr="0065690F">
              <w:t xml:space="preserve"> First quarter 2025</w:t>
            </w:r>
          </w:p>
          <w:p w14:paraId="33EADE1B" w14:textId="77777777" w:rsidR="00EA4725" w:rsidRPr="00441372" w:rsidRDefault="001D166E" w:rsidP="00441372">
            <w:pPr>
              <w:spacing w:after="120"/>
            </w:pPr>
            <w:r w:rsidRPr="00441372">
              <w:rPr>
                <w:b/>
              </w:rPr>
              <w:t xml:space="preserve">Proposed date of publication </w:t>
            </w:r>
            <w:r w:rsidRPr="00441372">
              <w:rPr>
                <w:b/>
                <w:i/>
              </w:rPr>
              <w:t>(dd/mm/yy)</w:t>
            </w:r>
            <w:r w:rsidRPr="00441372">
              <w:rPr>
                <w:b/>
              </w:rPr>
              <w:t>:</w:t>
            </w:r>
            <w:r w:rsidRPr="0065690F">
              <w:t xml:space="preserve"> First quarter 2025</w:t>
            </w:r>
          </w:p>
        </w:tc>
      </w:tr>
      <w:tr w:rsidR="007128DB" w14:paraId="2A7EE9E0" w14:textId="77777777" w:rsidTr="00F3021D">
        <w:tc>
          <w:tcPr>
            <w:tcW w:w="707" w:type="dxa"/>
            <w:tcBorders>
              <w:top w:val="single" w:sz="6" w:space="0" w:color="auto"/>
              <w:bottom w:val="single" w:sz="6" w:space="0" w:color="auto"/>
            </w:tcBorders>
            <w:shd w:val="clear" w:color="auto" w:fill="auto"/>
          </w:tcPr>
          <w:p w14:paraId="3BE60460" w14:textId="77777777" w:rsidR="00EA4725" w:rsidRPr="00441372" w:rsidRDefault="001D166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242B49D" w14:textId="77777777" w:rsidR="00EA4725" w:rsidRPr="00441372" w:rsidRDefault="001D166E"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Twenty days after publication in the Official Journal of the European Union.</w:t>
            </w:r>
          </w:p>
          <w:p w14:paraId="5417A76D" w14:textId="77777777" w:rsidR="00EA4725" w:rsidRPr="00441372" w:rsidRDefault="001D166E" w:rsidP="00441372">
            <w:pPr>
              <w:spacing w:after="120"/>
              <w:ind w:left="607" w:hanging="607"/>
              <w:rPr>
                <w:b/>
              </w:rPr>
            </w:pPr>
            <w:r w:rsidRPr="00441372">
              <w:rPr>
                <w:b/>
              </w:rPr>
              <w:t>[ ]</w:t>
            </w:r>
            <w:r w:rsidRPr="00441372">
              <w:rPr>
                <w:b/>
              </w:rPr>
              <w:tab/>
              <w:t>Trade facilitating measure</w:t>
            </w:r>
            <w:r w:rsidRPr="0065690F">
              <w:t xml:space="preserve"> </w:t>
            </w:r>
          </w:p>
        </w:tc>
      </w:tr>
      <w:tr w:rsidR="007128DB" w14:paraId="774A1249" w14:textId="77777777" w:rsidTr="00F3021D">
        <w:tc>
          <w:tcPr>
            <w:tcW w:w="707" w:type="dxa"/>
            <w:tcBorders>
              <w:top w:val="single" w:sz="6" w:space="0" w:color="auto"/>
              <w:bottom w:val="single" w:sz="6" w:space="0" w:color="auto"/>
            </w:tcBorders>
            <w:shd w:val="clear" w:color="auto" w:fill="auto"/>
          </w:tcPr>
          <w:p w14:paraId="61DF08B8" w14:textId="77777777" w:rsidR="00EA4725" w:rsidRPr="00441372" w:rsidRDefault="001D166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45E6C96" w14:textId="77777777" w:rsidR="00EA4725" w:rsidRPr="00441372" w:rsidRDefault="001D166E" w:rsidP="00441372">
            <w:pPr>
              <w:spacing w:before="120" w:after="120"/>
            </w:pPr>
            <w:r w:rsidRPr="00441372">
              <w:rPr>
                <w:b/>
              </w:rPr>
              <w:t xml:space="preserve">Final date for comments: [X] </w:t>
            </w:r>
            <w:r w:rsidRPr="00441372">
              <w:rPr>
                <w:b/>
              </w:rPr>
              <w:t xml:space="preserve">Sixty days from the date of circulation of the notification and/or </w:t>
            </w:r>
            <w:r w:rsidRPr="00441372">
              <w:rPr>
                <w:b/>
                <w:i/>
              </w:rPr>
              <w:t>(dd/mm/yy)</w:t>
            </w:r>
            <w:r w:rsidRPr="00441372">
              <w:rPr>
                <w:b/>
              </w:rPr>
              <w:t>:</w:t>
            </w:r>
            <w:r w:rsidRPr="0065690F">
              <w:t xml:space="preserve"> 9 November 2024</w:t>
            </w:r>
          </w:p>
          <w:p w14:paraId="757885FD" w14:textId="77777777" w:rsidR="00EA4725" w:rsidRPr="00441372" w:rsidRDefault="001D166E"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2BB93066" w14:textId="77777777" w:rsidR="00470181" w:rsidRPr="0065690F" w:rsidRDefault="001D166E" w:rsidP="00441372">
            <w:r w:rsidRPr="0065690F">
              <w:t>European Commission</w:t>
            </w:r>
          </w:p>
          <w:p w14:paraId="7A828BB3" w14:textId="77777777" w:rsidR="00470181" w:rsidRPr="0065690F" w:rsidRDefault="001D166E" w:rsidP="00441372">
            <w:r w:rsidRPr="0065690F">
              <w:t>DG Health and Food Safety, Unit A4-Multilateral International Relations</w:t>
            </w:r>
          </w:p>
          <w:p w14:paraId="7D363946" w14:textId="77777777" w:rsidR="00470181" w:rsidRPr="00573CF2" w:rsidRDefault="001D166E" w:rsidP="00441372">
            <w:pPr>
              <w:rPr>
                <w:lang w:val="fr-CH"/>
              </w:rPr>
            </w:pPr>
            <w:r w:rsidRPr="00573CF2">
              <w:rPr>
                <w:lang w:val="fr-CH"/>
              </w:rPr>
              <w:t>Rue Froissart 101</w:t>
            </w:r>
          </w:p>
          <w:p w14:paraId="24403E53" w14:textId="77777777" w:rsidR="00470181" w:rsidRPr="00573CF2" w:rsidRDefault="001D166E" w:rsidP="00441372">
            <w:pPr>
              <w:rPr>
                <w:lang w:val="fr-CH"/>
              </w:rPr>
            </w:pPr>
            <w:r w:rsidRPr="00573CF2">
              <w:rPr>
                <w:lang w:val="fr-CH"/>
              </w:rPr>
              <w:t>B-1049 Brussels</w:t>
            </w:r>
          </w:p>
          <w:p w14:paraId="4FA3AE6C" w14:textId="77777777" w:rsidR="00470181" w:rsidRPr="00573CF2" w:rsidRDefault="001D166E" w:rsidP="00441372">
            <w:pPr>
              <w:rPr>
                <w:lang w:val="fr-CH"/>
              </w:rPr>
            </w:pPr>
            <w:r w:rsidRPr="00573CF2">
              <w:rPr>
                <w:lang w:val="fr-CH"/>
              </w:rPr>
              <w:t>Tel: +(32 2) 29 54263</w:t>
            </w:r>
          </w:p>
          <w:p w14:paraId="55674EE2" w14:textId="77777777" w:rsidR="00470181" w:rsidRPr="0065690F" w:rsidRDefault="001D166E" w:rsidP="00441372">
            <w:pPr>
              <w:spacing w:after="120"/>
            </w:pPr>
            <w:r w:rsidRPr="0065690F">
              <w:t xml:space="preserve">E-mail: </w:t>
            </w:r>
            <w:hyperlink r:id="rId10" w:history="1">
              <w:r w:rsidRPr="0065690F">
                <w:rPr>
                  <w:color w:val="0000FF"/>
                  <w:u w:val="single"/>
                </w:rPr>
                <w:t>sps@ec.europa.eu</w:t>
              </w:r>
            </w:hyperlink>
          </w:p>
        </w:tc>
      </w:tr>
      <w:tr w:rsidR="007128DB" w14:paraId="378A4F15" w14:textId="77777777" w:rsidTr="00F3021D">
        <w:tc>
          <w:tcPr>
            <w:tcW w:w="707" w:type="dxa"/>
            <w:tcBorders>
              <w:top w:val="single" w:sz="6" w:space="0" w:color="auto"/>
            </w:tcBorders>
            <w:shd w:val="clear" w:color="auto" w:fill="auto"/>
          </w:tcPr>
          <w:p w14:paraId="6FAC60B8" w14:textId="77777777" w:rsidR="00EA4725" w:rsidRPr="00441372" w:rsidRDefault="001D166E"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430769C1" w14:textId="77777777" w:rsidR="00EA4725" w:rsidRPr="00441372" w:rsidRDefault="001D166E"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0E70F525" w14:textId="77777777" w:rsidR="00EA4725" w:rsidRPr="0065690F" w:rsidRDefault="001D166E" w:rsidP="00F3021D">
            <w:pPr>
              <w:keepNext/>
              <w:keepLines/>
              <w:rPr>
                <w:bCs/>
              </w:rPr>
            </w:pPr>
            <w:r w:rsidRPr="0065690F">
              <w:rPr>
                <w:bCs/>
              </w:rPr>
              <w:t>European Commission</w:t>
            </w:r>
          </w:p>
          <w:p w14:paraId="1E7952BA" w14:textId="77777777" w:rsidR="00EA4725" w:rsidRPr="0065690F" w:rsidRDefault="001D166E" w:rsidP="00F3021D">
            <w:pPr>
              <w:keepNext/>
              <w:keepLines/>
              <w:rPr>
                <w:bCs/>
              </w:rPr>
            </w:pPr>
            <w:r w:rsidRPr="0065690F">
              <w:rPr>
                <w:bCs/>
              </w:rPr>
              <w:t>DG Health and Food Safety, Unit A4-Multilateral International Relations</w:t>
            </w:r>
          </w:p>
          <w:p w14:paraId="2F676B95" w14:textId="77777777" w:rsidR="00EA4725" w:rsidRPr="00573CF2" w:rsidRDefault="001D166E" w:rsidP="00F3021D">
            <w:pPr>
              <w:keepNext/>
              <w:keepLines/>
              <w:rPr>
                <w:bCs/>
                <w:lang w:val="fr-CH"/>
              </w:rPr>
            </w:pPr>
            <w:r w:rsidRPr="00573CF2">
              <w:rPr>
                <w:bCs/>
                <w:lang w:val="fr-CH"/>
              </w:rPr>
              <w:t>Rue Froissart 101</w:t>
            </w:r>
          </w:p>
          <w:p w14:paraId="2D970DF2" w14:textId="77777777" w:rsidR="00EA4725" w:rsidRPr="00573CF2" w:rsidRDefault="001D166E" w:rsidP="00F3021D">
            <w:pPr>
              <w:keepNext/>
              <w:keepLines/>
              <w:rPr>
                <w:bCs/>
                <w:lang w:val="fr-CH"/>
              </w:rPr>
            </w:pPr>
            <w:r w:rsidRPr="00573CF2">
              <w:rPr>
                <w:bCs/>
                <w:lang w:val="fr-CH"/>
              </w:rPr>
              <w:t>B-1049 Brussels</w:t>
            </w:r>
          </w:p>
          <w:p w14:paraId="16FEB616" w14:textId="77777777" w:rsidR="00EA4725" w:rsidRPr="00573CF2" w:rsidRDefault="001D166E" w:rsidP="00F3021D">
            <w:pPr>
              <w:keepNext/>
              <w:keepLines/>
              <w:rPr>
                <w:bCs/>
                <w:lang w:val="fr-CH"/>
              </w:rPr>
            </w:pPr>
            <w:r w:rsidRPr="00573CF2">
              <w:rPr>
                <w:bCs/>
                <w:lang w:val="fr-CH"/>
              </w:rPr>
              <w:t>Tel: +(32 2) 29 54263</w:t>
            </w:r>
          </w:p>
          <w:p w14:paraId="449C342C" w14:textId="77777777" w:rsidR="00EA4725" w:rsidRPr="0065690F" w:rsidRDefault="001D166E" w:rsidP="00F3021D">
            <w:pPr>
              <w:keepNext/>
              <w:keepLines/>
              <w:spacing w:after="120"/>
              <w:rPr>
                <w:bCs/>
              </w:rPr>
            </w:pPr>
            <w:r w:rsidRPr="0065690F">
              <w:rPr>
                <w:bCs/>
              </w:rPr>
              <w:t xml:space="preserve">E-mail: </w:t>
            </w:r>
            <w:hyperlink r:id="rId11" w:history="1">
              <w:r w:rsidRPr="0065690F">
                <w:rPr>
                  <w:bCs/>
                  <w:color w:val="0000FF"/>
                  <w:u w:val="single"/>
                </w:rPr>
                <w:t>sps@ec.europa.eu</w:t>
              </w:r>
            </w:hyperlink>
          </w:p>
        </w:tc>
      </w:tr>
    </w:tbl>
    <w:p w14:paraId="50089CF6" w14:textId="77777777" w:rsidR="007141CF" w:rsidRPr="00441372" w:rsidRDefault="007141CF" w:rsidP="00441372"/>
    <w:sectPr w:rsidR="007141CF" w:rsidRPr="00441372" w:rsidSect="00573CF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F281" w14:textId="77777777" w:rsidR="001D166E" w:rsidRDefault="001D166E">
      <w:r>
        <w:separator/>
      </w:r>
    </w:p>
  </w:endnote>
  <w:endnote w:type="continuationSeparator" w:id="0">
    <w:p w14:paraId="2006BC5F" w14:textId="77777777" w:rsidR="001D166E" w:rsidRDefault="001D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2786" w14:textId="2E74B052" w:rsidR="00EA4725" w:rsidRPr="00573CF2" w:rsidRDefault="001D166E" w:rsidP="00573CF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D5D" w14:textId="7B008897" w:rsidR="00EA4725" w:rsidRPr="00573CF2" w:rsidRDefault="001D166E" w:rsidP="00573CF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FB64" w14:textId="77777777" w:rsidR="00C863EB" w:rsidRPr="00441372" w:rsidRDefault="001D166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404C8" w14:textId="77777777" w:rsidR="001D166E" w:rsidRDefault="001D166E">
      <w:r>
        <w:separator/>
      </w:r>
    </w:p>
  </w:footnote>
  <w:footnote w:type="continuationSeparator" w:id="0">
    <w:p w14:paraId="3DF5635D" w14:textId="77777777" w:rsidR="001D166E" w:rsidRDefault="001D1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7B60" w14:textId="77777777" w:rsidR="00573CF2" w:rsidRPr="00573CF2" w:rsidRDefault="001D166E" w:rsidP="00573CF2">
    <w:pPr>
      <w:pStyle w:val="Header"/>
      <w:pBdr>
        <w:bottom w:val="single" w:sz="4" w:space="1" w:color="auto"/>
      </w:pBdr>
      <w:tabs>
        <w:tab w:val="clear" w:pos="4513"/>
        <w:tab w:val="clear" w:pos="9027"/>
      </w:tabs>
      <w:jc w:val="center"/>
    </w:pPr>
    <w:r w:rsidRPr="00573CF2">
      <w:t>G/SPS/N/EU/794</w:t>
    </w:r>
  </w:p>
  <w:p w14:paraId="07E2CDBA" w14:textId="77777777" w:rsidR="00573CF2" w:rsidRPr="00573CF2" w:rsidRDefault="00573CF2" w:rsidP="00573CF2">
    <w:pPr>
      <w:pStyle w:val="Header"/>
      <w:pBdr>
        <w:bottom w:val="single" w:sz="4" w:space="1" w:color="auto"/>
      </w:pBdr>
      <w:tabs>
        <w:tab w:val="clear" w:pos="4513"/>
        <w:tab w:val="clear" w:pos="9027"/>
      </w:tabs>
      <w:jc w:val="center"/>
    </w:pPr>
  </w:p>
  <w:p w14:paraId="0347BE4F" w14:textId="466ABD09" w:rsidR="00573CF2" w:rsidRPr="00573CF2" w:rsidRDefault="001D166E" w:rsidP="00573CF2">
    <w:pPr>
      <w:pStyle w:val="Header"/>
      <w:pBdr>
        <w:bottom w:val="single" w:sz="4" w:space="1" w:color="auto"/>
      </w:pBdr>
      <w:tabs>
        <w:tab w:val="clear" w:pos="4513"/>
        <w:tab w:val="clear" w:pos="9027"/>
      </w:tabs>
      <w:jc w:val="center"/>
    </w:pPr>
    <w:r w:rsidRPr="00573CF2">
      <w:t xml:space="preserve">- </w:t>
    </w:r>
    <w:r w:rsidRPr="00573CF2">
      <w:fldChar w:fldCharType="begin"/>
    </w:r>
    <w:r w:rsidRPr="00573CF2">
      <w:instrText xml:space="preserve"> PAGE </w:instrText>
    </w:r>
    <w:r w:rsidRPr="00573CF2">
      <w:fldChar w:fldCharType="separate"/>
    </w:r>
    <w:r w:rsidRPr="00573CF2">
      <w:rPr>
        <w:noProof/>
      </w:rPr>
      <w:t>2</w:t>
    </w:r>
    <w:r w:rsidRPr="00573CF2">
      <w:fldChar w:fldCharType="end"/>
    </w:r>
    <w:r w:rsidRPr="00573CF2">
      <w:t xml:space="preserve"> -</w:t>
    </w:r>
  </w:p>
  <w:p w14:paraId="36A4BC75" w14:textId="5023AA43" w:rsidR="00EA4725" w:rsidRPr="00573CF2" w:rsidRDefault="00EA4725" w:rsidP="00573CF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845E" w14:textId="77777777" w:rsidR="00573CF2" w:rsidRPr="00573CF2" w:rsidRDefault="001D166E" w:rsidP="00573CF2">
    <w:pPr>
      <w:pStyle w:val="Header"/>
      <w:pBdr>
        <w:bottom w:val="single" w:sz="4" w:space="1" w:color="auto"/>
      </w:pBdr>
      <w:tabs>
        <w:tab w:val="clear" w:pos="4513"/>
        <w:tab w:val="clear" w:pos="9027"/>
      </w:tabs>
      <w:jc w:val="center"/>
    </w:pPr>
    <w:r w:rsidRPr="00573CF2">
      <w:t>G/SPS/N/EU/794</w:t>
    </w:r>
  </w:p>
  <w:p w14:paraId="674B55B3" w14:textId="77777777" w:rsidR="00573CF2" w:rsidRPr="00573CF2" w:rsidRDefault="00573CF2" w:rsidP="00573CF2">
    <w:pPr>
      <w:pStyle w:val="Header"/>
      <w:pBdr>
        <w:bottom w:val="single" w:sz="4" w:space="1" w:color="auto"/>
      </w:pBdr>
      <w:tabs>
        <w:tab w:val="clear" w:pos="4513"/>
        <w:tab w:val="clear" w:pos="9027"/>
      </w:tabs>
      <w:jc w:val="center"/>
    </w:pPr>
  </w:p>
  <w:p w14:paraId="1D4641D4" w14:textId="2108BD1A" w:rsidR="00573CF2" w:rsidRPr="00573CF2" w:rsidRDefault="001D166E" w:rsidP="00573CF2">
    <w:pPr>
      <w:pStyle w:val="Header"/>
      <w:pBdr>
        <w:bottom w:val="single" w:sz="4" w:space="1" w:color="auto"/>
      </w:pBdr>
      <w:tabs>
        <w:tab w:val="clear" w:pos="4513"/>
        <w:tab w:val="clear" w:pos="9027"/>
      </w:tabs>
      <w:jc w:val="center"/>
    </w:pPr>
    <w:r w:rsidRPr="00573CF2">
      <w:t xml:space="preserve">- </w:t>
    </w:r>
    <w:r w:rsidRPr="00573CF2">
      <w:fldChar w:fldCharType="begin"/>
    </w:r>
    <w:r w:rsidRPr="00573CF2">
      <w:instrText xml:space="preserve"> PAGE </w:instrText>
    </w:r>
    <w:r w:rsidRPr="00573CF2">
      <w:fldChar w:fldCharType="separate"/>
    </w:r>
    <w:r w:rsidRPr="00573CF2">
      <w:rPr>
        <w:noProof/>
      </w:rPr>
      <w:t>2</w:t>
    </w:r>
    <w:r w:rsidRPr="00573CF2">
      <w:fldChar w:fldCharType="end"/>
    </w:r>
    <w:r w:rsidRPr="00573CF2">
      <w:t xml:space="preserve"> -</w:t>
    </w:r>
  </w:p>
  <w:p w14:paraId="730F8572" w14:textId="4D9D0E9B" w:rsidR="00EA4725" w:rsidRPr="00573CF2" w:rsidRDefault="00EA4725" w:rsidP="00573CF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128DB" w14:paraId="62E6FCF2" w14:textId="77777777" w:rsidTr="00EE3CAF">
      <w:trPr>
        <w:trHeight w:val="240"/>
        <w:jc w:val="center"/>
      </w:trPr>
      <w:tc>
        <w:tcPr>
          <w:tcW w:w="3794" w:type="dxa"/>
          <w:shd w:val="clear" w:color="auto" w:fill="FFFFFF"/>
          <w:tcMar>
            <w:left w:w="108" w:type="dxa"/>
            <w:right w:w="108" w:type="dxa"/>
          </w:tcMar>
          <w:vAlign w:val="center"/>
        </w:tcPr>
        <w:p w14:paraId="02BE5785"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B30317A" w14:textId="3394FD13" w:rsidR="00ED54E0" w:rsidRPr="00EA4725" w:rsidRDefault="001D166E" w:rsidP="00422B6F">
          <w:pPr>
            <w:jc w:val="right"/>
            <w:rPr>
              <w:b/>
              <w:color w:val="FF0000"/>
              <w:szCs w:val="16"/>
            </w:rPr>
          </w:pPr>
          <w:r>
            <w:rPr>
              <w:b/>
              <w:color w:val="FF0000"/>
              <w:szCs w:val="16"/>
            </w:rPr>
            <w:t xml:space="preserve"> </w:t>
          </w:r>
        </w:p>
      </w:tc>
    </w:tr>
    <w:bookmarkEnd w:id="0"/>
    <w:tr w:rsidR="007128DB" w14:paraId="579D9124" w14:textId="77777777" w:rsidTr="00EE3CAF">
      <w:trPr>
        <w:trHeight w:val="213"/>
        <w:jc w:val="center"/>
      </w:trPr>
      <w:tc>
        <w:tcPr>
          <w:tcW w:w="3794" w:type="dxa"/>
          <w:vMerge w:val="restart"/>
          <w:shd w:val="clear" w:color="auto" w:fill="FFFFFF"/>
          <w:tcMar>
            <w:left w:w="0" w:type="dxa"/>
            <w:right w:w="0" w:type="dxa"/>
          </w:tcMar>
        </w:tcPr>
        <w:p w14:paraId="5282C8C6" w14:textId="77777777" w:rsidR="00ED54E0" w:rsidRPr="00EA4725" w:rsidRDefault="001D166E" w:rsidP="00422B6F">
          <w:pPr>
            <w:jc w:val="left"/>
          </w:pPr>
          <w:r>
            <w:rPr>
              <w:lang w:eastAsia="en-GB"/>
            </w:rPr>
            <w:pict w14:anchorId="5F07B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7E5D2D3E" w14:textId="77777777" w:rsidR="00ED54E0" w:rsidRPr="00EA4725" w:rsidRDefault="00ED54E0" w:rsidP="00422B6F">
          <w:pPr>
            <w:jc w:val="right"/>
            <w:rPr>
              <w:b/>
              <w:szCs w:val="16"/>
            </w:rPr>
          </w:pPr>
        </w:p>
      </w:tc>
    </w:tr>
    <w:tr w:rsidR="007128DB" w14:paraId="70A27C50" w14:textId="77777777" w:rsidTr="00EE3CAF">
      <w:trPr>
        <w:trHeight w:val="868"/>
        <w:jc w:val="center"/>
      </w:trPr>
      <w:tc>
        <w:tcPr>
          <w:tcW w:w="3794" w:type="dxa"/>
          <w:vMerge/>
          <w:shd w:val="clear" w:color="auto" w:fill="FFFFFF"/>
          <w:tcMar>
            <w:left w:w="108" w:type="dxa"/>
            <w:right w:w="108" w:type="dxa"/>
          </w:tcMar>
        </w:tcPr>
        <w:p w14:paraId="52D6086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6D12A2F" w14:textId="77777777" w:rsidR="00573CF2" w:rsidRDefault="001D166E" w:rsidP="00656ABC">
          <w:pPr>
            <w:jc w:val="right"/>
            <w:rPr>
              <w:b/>
              <w:szCs w:val="16"/>
            </w:rPr>
          </w:pPr>
          <w:bookmarkStart w:id="1" w:name="bmkSymbols"/>
          <w:r>
            <w:rPr>
              <w:b/>
              <w:szCs w:val="16"/>
            </w:rPr>
            <w:t>G/SPS/N/EU/794</w:t>
          </w:r>
          <w:bookmarkEnd w:id="1"/>
        </w:p>
      </w:tc>
    </w:tr>
    <w:tr w:rsidR="007128DB" w14:paraId="1D968D18" w14:textId="77777777" w:rsidTr="00EE3CAF">
      <w:trPr>
        <w:trHeight w:val="240"/>
        <w:jc w:val="center"/>
      </w:trPr>
      <w:tc>
        <w:tcPr>
          <w:tcW w:w="3794" w:type="dxa"/>
          <w:vMerge/>
          <w:shd w:val="clear" w:color="auto" w:fill="FFFFFF"/>
          <w:tcMar>
            <w:left w:w="108" w:type="dxa"/>
            <w:right w:w="108" w:type="dxa"/>
          </w:tcMar>
          <w:vAlign w:val="center"/>
        </w:tcPr>
        <w:p w14:paraId="248806A5" w14:textId="77777777" w:rsidR="00ED54E0" w:rsidRPr="00EA4725" w:rsidRDefault="00ED54E0" w:rsidP="00422B6F"/>
      </w:tc>
      <w:tc>
        <w:tcPr>
          <w:tcW w:w="5448" w:type="dxa"/>
          <w:gridSpan w:val="2"/>
          <w:shd w:val="clear" w:color="auto" w:fill="FFFFFF"/>
          <w:tcMar>
            <w:left w:w="108" w:type="dxa"/>
            <w:right w:w="108" w:type="dxa"/>
          </w:tcMar>
          <w:vAlign w:val="center"/>
        </w:tcPr>
        <w:p w14:paraId="1173ABE8" w14:textId="77777777" w:rsidR="00ED54E0" w:rsidRPr="00EA4725" w:rsidRDefault="001D166E" w:rsidP="00422B6F">
          <w:pPr>
            <w:jc w:val="right"/>
            <w:rPr>
              <w:szCs w:val="16"/>
            </w:rPr>
          </w:pPr>
          <w:bookmarkStart w:id="2" w:name="spsDateDistribution"/>
          <w:bookmarkStart w:id="3" w:name="bmkDate"/>
          <w:bookmarkEnd w:id="2"/>
          <w:r w:rsidRPr="00EA4725">
            <w:rPr>
              <w:szCs w:val="16"/>
            </w:rPr>
            <w:t>10 September 2024</w:t>
          </w:r>
          <w:bookmarkEnd w:id="3"/>
        </w:p>
      </w:tc>
    </w:tr>
    <w:tr w:rsidR="007128DB" w14:paraId="4057533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AF92D5" w14:textId="0A7ACB7D" w:rsidR="00ED54E0" w:rsidRPr="00EA4725" w:rsidRDefault="001D166E" w:rsidP="00422B6F">
          <w:pPr>
            <w:jc w:val="left"/>
            <w:rPr>
              <w:b/>
            </w:rPr>
          </w:pPr>
          <w:bookmarkStart w:id="4" w:name="bmkSerial"/>
          <w:r w:rsidRPr="00441372">
            <w:rPr>
              <w:color w:val="FF0000"/>
              <w:szCs w:val="16"/>
            </w:rPr>
            <w:t>(</w:t>
          </w:r>
          <w:bookmarkStart w:id="5" w:name="spsSerialNumber"/>
          <w:bookmarkEnd w:id="5"/>
          <w:r>
            <w:rPr>
              <w:color w:val="FF0000"/>
              <w:szCs w:val="16"/>
            </w:rPr>
            <w:t>24-6213</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1A0C94C" w14:textId="77777777" w:rsidR="00ED54E0" w:rsidRPr="00EA4725" w:rsidRDefault="001D166E"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7128DB" w14:paraId="3DA0F74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20EA8D" w14:textId="459AD81E" w:rsidR="00ED54E0" w:rsidRPr="00EA4725" w:rsidRDefault="001D166E"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6D3278D" w14:textId="61679407" w:rsidR="00ED54E0" w:rsidRPr="00441372" w:rsidRDefault="001D166E" w:rsidP="00EC687E">
          <w:pPr>
            <w:jc w:val="right"/>
            <w:rPr>
              <w:bCs/>
              <w:szCs w:val="18"/>
            </w:rPr>
          </w:pPr>
          <w:bookmarkStart w:id="8" w:name="bmkLanguage"/>
          <w:r>
            <w:rPr>
              <w:bCs/>
              <w:szCs w:val="18"/>
            </w:rPr>
            <w:t>Original: English</w:t>
          </w:r>
          <w:bookmarkEnd w:id="8"/>
        </w:p>
      </w:tc>
    </w:tr>
  </w:tbl>
  <w:p w14:paraId="633C562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A30F006">
      <w:start w:val="1"/>
      <w:numFmt w:val="decimal"/>
      <w:pStyle w:val="SummaryText"/>
      <w:lvlText w:val="%1."/>
      <w:lvlJc w:val="left"/>
      <w:pPr>
        <w:ind w:left="360" w:hanging="360"/>
      </w:pPr>
    </w:lvl>
    <w:lvl w:ilvl="1" w:tplc="B92686D2" w:tentative="1">
      <w:start w:val="1"/>
      <w:numFmt w:val="lowerLetter"/>
      <w:lvlText w:val="%2."/>
      <w:lvlJc w:val="left"/>
      <w:pPr>
        <w:ind w:left="1080" w:hanging="360"/>
      </w:pPr>
    </w:lvl>
    <w:lvl w:ilvl="2" w:tplc="CE5E80A2" w:tentative="1">
      <w:start w:val="1"/>
      <w:numFmt w:val="lowerRoman"/>
      <w:lvlText w:val="%3."/>
      <w:lvlJc w:val="right"/>
      <w:pPr>
        <w:ind w:left="1800" w:hanging="180"/>
      </w:pPr>
    </w:lvl>
    <w:lvl w:ilvl="3" w:tplc="4EF47E12" w:tentative="1">
      <w:start w:val="1"/>
      <w:numFmt w:val="decimal"/>
      <w:lvlText w:val="%4."/>
      <w:lvlJc w:val="left"/>
      <w:pPr>
        <w:ind w:left="2520" w:hanging="360"/>
      </w:pPr>
    </w:lvl>
    <w:lvl w:ilvl="4" w:tplc="0EA67962" w:tentative="1">
      <w:start w:val="1"/>
      <w:numFmt w:val="lowerLetter"/>
      <w:lvlText w:val="%5."/>
      <w:lvlJc w:val="left"/>
      <w:pPr>
        <w:ind w:left="3240" w:hanging="360"/>
      </w:pPr>
    </w:lvl>
    <w:lvl w:ilvl="5" w:tplc="14381EAA" w:tentative="1">
      <w:start w:val="1"/>
      <w:numFmt w:val="lowerRoman"/>
      <w:lvlText w:val="%6."/>
      <w:lvlJc w:val="right"/>
      <w:pPr>
        <w:ind w:left="3960" w:hanging="180"/>
      </w:pPr>
    </w:lvl>
    <w:lvl w:ilvl="6" w:tplc="D098E278" w:tentative="1">
      <w:start w:val="1"/>
      <w:numFmt w:val="decimal"/>
      <w:lvlText w:val="%7."/>
      <w:lvlJc w:val="left"/>
      <w:pPr>
        <w:ind w:left="4680" w:hanging="360"/>
      </w:pPr>
    </w:lvl>
    <w:lvl w:ilvl="7" w:tplc="D4FA0946" w:tentative="1">
      <w:start w:val="1"/>
      <w:numFmt w:val="lowerLetter"/>
      <w:lvlText w:val="%8."/>
      <w:lvlJc w:val="left"/>
      <w:pPr>
        <w:ind w:left="5400" w:hanging="360"/>
      </w:pPr>
    </w:lvl>
    <w:lvl w:ilvl="8" w:tplc="105C0C92" w:tentative="1">
      <w:start w:val="1"/>
      <w:numFmt w:val="lowerRoman"/>
      <w:lvlText w:val="%9."/>
      <w:lvlJc w:val="right"/>
      <w:pPr>
        <w:ind w:left="6120" w:hanging="180"/>
      </w:pPr>
    </w:lvl>
  </w:abstractNum>
  <w:abstractNum w:abstractNumId="14" w15:restartNumberingAfterBreak="0">
    <w:nsid w:val="6D8377EC"/>
    <w:multiLevelType w:val="hybridMultilevel"/>
    <w:tmpl w:val="B8BEECEA"/>
    <w:lvl w:ilvl="0" w:tplc="E0AE1928">
      <w:start w:val="1"/>
      <w:numFmt w:val="bullet"/>
      <w:lvlText w:val="-"/>
      <w:lvlJc w:val="left"/>
      <w:pPr>
        <w:ind w:left="720" w:hanging="360"/>
      </w:pPr>
      <w:rPr>
        <w:rFonts w:ascii="Symbol" w:hAnsi="Symbol" w:hint="default"/>
      </w:rPr>
    </w:lvl>
    <w:lvl w:ilvl="1" w:tplc="8460D54A" w:tentative="1">
      <w:start w:val="1"/>
      <w:numFmt w:val="bullet"/>
      <w:lvlText w:val="o"/>
      <w:lvlJc w:val="left"/>
      <w:pPr>
        <w:ind w:left="1440" w:hanging="360"/>
      </w:pPr>
      <w:rPr>
        <w:rFonts w:ascii="Courier New" w:hAnsi="Courier New" w:cs="Courier New" w:hint="default"/>
      </w:rPr>
    </w:lvl>
    <w:lvl w:ilvl="2" w:tplc="327E8A52" w:tentative="1">
      <w:start w:val="1"/>
      <w:numFmt w:val="bullet"/>
      <w:lvlText w:val=""/>
      <w:lvlJc w:val="left"/>
      <w:pPr>
        <w:ind w:left="2160" w:hanging="360"/>
      </w:pPr>
      <w:rPr>
        <w:rFonts w:ascii="Wingdings" w:hAnsi="Wingdings" w:hint="default"/>
      </w:rPr>
    </w:lvl>
    <w:lvl w:ilvl="3" w:tplc="D1F413CC" w:tentative="1">
      <w:start w:val="1"/>
      <w:numFmt w:val="bullet"/>
      <w:lvlText w:val=""/>
      <w:lvlJc w:val="left"/>
      <w:pPr>
        <w:ind w:left="2880" w:hanging="360"/>
      </w:pPr>
      <w:rPr>
        <w:rFonts w:ascii="Symbol" w:hAnsi="Symbol" w:hint="default"/>
      </w:rPr>
    </w:lvl>
    <w:lvl w:ilvl="4" w:tplc="B918491A" w:tentative="1">
      <w:start w:val="1"/>
      <w:numFmt w:val="bullet"/>
      <w:lvlText w:val="o"/>
      <w:lvlJc w:val="left"/>
      <w:pPr>
        <w:ind w:left="3600" w:hanging="360"/>
      </w:pPr>
      <w:rPr>
        <w:rFonts w:ascii="Courier New" w:hAnsi="Courier New" w:cs="Courier New" w:hint="default"/>
      </w:rPr>
    </w:lvl>
    <w:lvl w:ilvl="5" w:tplc="C0C845EC" w:tentative="1">
      <w:start w:val="1"/>
      <w:numFmt w:val="bullet"/>
      <w:lvlText w:val=""/>
      <w:lvlJc w:val="left"/>
      <w:pPr>
        <w:ind w:left="4320" w:hanging="360"/>
      </w:pPr>
      <w:rPr>
        <w:rFonts w:ascii="Wingdings" w:hAnsi="Wingdings" w:hint="default"/>
      </w:rPr>
    </w:lvl>
    <w:lvl w:ilvl="6" w:tplc="DA2C7B76" w:tentative="1">
      <w:start w:val="1"/>
      <w:numFmt w:val="bullet"/>
      <w:lvlText w:val=""/>
      <w:lvlJc w:val="left"/>
      <w:pPr>
        <w:ind w:left="5040" w:hanging="360"/>
      </w:pPr>
      <w:rPr>
        <w:rFonts w:ascii="Symbol" w:hAnsi="Symbol" w:hint="default"/>
      </w:rPr>
    </w:lvl>
    <w:lvl w:ilvl="7" w:tplc="CB005B46" w:tentative="1">
      <w:start w:val="1"/>
      <w:numFmt w:val="bullet"/>
      <w:lvlText w:val="o"/>
      <w:lvlJc w:val="left"/>
      <w:pPr>
        <w:ind w:left="5760" w:hanging="360"/>
      </w:pPr>
      <w:rPr>
        <w:rFonts w:ascii="Courier New" w:hAnsi="Courier New" w:cs="Courier New" w:hint="default"/>
      </w:rPr>
    </w:lvl>
    <w:lvl w:ilvl="8" w:tplc="E17A8636" w:tentative="1">
      <w:start w:val="1"/>
      <w:numFmt w:val="bullet"/>
      <w:lvlText w:val=""/>
      <w:lvlJc w:val="left"/>
      <w:pPr>
        <w:ind w:left="6480" w:hanging="360"/>
      </w:pPr>
      <w:rPr>
        <w:rFonts w:ascii="Wingdings" w:hAnsi="Wingdings" w:hint="default"/>
      </w:rPr>
    </w:lvl>
  </w:abstractNum>
  <w:num w:numId="1" w16cid:durableId="53894757">
    <w:abstractNumId w:val="9"/>
  </w:num>
  <w:num w:numId="2" w16cid:durableId="361328105">
    <w:abstractNumId w:val="7"/>
  </w:num>
  <w:num w:numId="3" w16cid:durableId="1933395012">
    <w:abstractNumId w:val="6"/>
  </w:num>
  <w:num w:numId="4" w16cid:durableId="1294025490">
    <w:abstractNumId w:val="5"/>
  </w:num>
  <w:num w:numId="5" w16cid:durableId="1177576353">
    <w:abstractNumId w:val="4"/>
  </w:num>
  <w:num w:numId="6" w16cid:durableId="508643846">
    <w:abstractNumId w:val="12"/>
  </w:num>
  <w:num w:numId="7" w16cid:durableId="776171923">
    <w:abstractNumId w:val="11"/>
  </w:num>
  <w:num w:numId="8" w16cid:durableId="373652585">
    <w:abstractNumId w:val="10"/>
  </w:num>
  <w:num w:numId="9" w16cid:durableId="8149534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9435450">
    <w:abstractNumId w:val="13"/>
  </w:num>
  <w:num w:numId="11" w16cid:durableId="1025136959">
    <w:abstractNumId w:val="8"/>
  </w:num>
  <w:num w:numId="12" w16cid:durableId="1563903864">
    <w:abstractNumId w:val="3"/>
  </w:num>
  <w:num w:numId="13" w16cid:durableId="327024818">
    <w:abstractNumId w:val="2"/>
  </w:num>
  <w:num w:numId="14" w16cid:durableId="1517693570">
    <w:abstractNumId w:val="1"/>
  </w:num>
  <w:num w:numId="15" w16cid:durableId="572856418">
    <w:abstractNumId w:val="0"/>
  </w:num>
  <w:num w:numId="16" w16cid:durableId="9680507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102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D166E"/>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70181"/>
    <w:rsid w:val="004B39D5"/>
    <w:rsid w:val="004E4B52"/>
    <w:rsid w:val="004F203A"/>
    <w:rsid w:val="005336B8"/>
    <w:rsid w:val="00547B5F"/>
    <w:rsid w:val="00573CF2"/>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28DB"/>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DB1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5893_00_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urlex.europa.eu/LexUriServ/LexUriServ.do?uri=OJ:L:2006:404:0026:0038:EN: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8af0beff-e320-4216-b359-9300a1b842df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CB1F740-6869-4DFD-9FAC-B5E534829DA7}">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835</Words>
  <Characters>4811</Characters>
  <Application>Microsoft Office Word</Application>
  <DocSecurity>0</DocSecurity>
  <Lines>104</Lines>
  <Paragraphs>72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2024-09-10T06:38:00Z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G/SPS/N/EU/794</vt:lpwstr>
  </property>
  <property fmtid="{D5CDD505-2E9C-101B-9397-08002B2CF9AE}" pid="3" name="TitusGUID">
    <vt:lpwstr>8af0beff-e320-4216-b359-9300a1b842df</vt:lpwstr>
  </property>
  <property fmtid="{D5CDD505-2E9C-101B-9397-08002B2CF9AE}" pid="4" name="WTOCLASSIFICATION">
    <vt:lpwstr>WTO OFFICIAL</vt:lpwstr>
  </property>
</Properties>
</file>