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6BFC" w14:textId="77777777" w:rsidR="004E22AE" w:rsidRPr="007C4C36" w:rsidRDefault="00D1795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3066ED3" w14:textId="77777777" w:rsidR="004E22AE" w:rsidRPr="007C4C36" w:rsidRDefault="00D17951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bookmarkEnd w:id="1"/>
    </w:p>
    <w:p w14:paraId="18D66B0C" w14:textId="77777777" w:rsidR="007141CF" w:rsidRPr="007C4C36" w:rsidRDefault="00D17951" w:rsidP="007C4C36">
      <w:bookmarkStart w:id="2" w:name="bmkChapeau"/>
      <w:r w:rsidRPr="007C4C36">
        <w:t xml:space="preserve">The following communication, dated 29 April 2024,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2"/>
    </w:p>
    <w:p w14:paraId="74D56F64" w14:textId="77777777" w:rsidR="004E22AE" w:rsidRPr="007C4C36" w:rsidRDefault="004E22AE" w:rsidP="007C4C36"/>
    <w:p w14:paraId="3B1F4CD5" w14:textId="77777777" w:rsidR="004E22AE" w:rsidRPr="007C4C36" w:rsidRDefault="00D1795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AD36ACF" w14:textId="77777777" w:rsidR="004E22AE" w:rsidRPr="007C4C36" w:rsidRDefault="004E22AE" w:rsidP="007C4C36"/>
    <w:p w14:paraId="5BB56276" w14:textId="77777777" w:rsidR="004E22AE" w:rsidRPr="007C4C36" w:rsidRDefault="004E22AE" w:rsidP="007C4C36"/>
    <w:p w14:paraId="588F2BD9" w14:textId="77777777" w:rsidR="004E22AE" w:rsidRPr="007C4C36" w:rsidRDefault="00D17951" w:rsidP="003601C0">
      <w:pPr>
        <w:spacing w:after="120"/>
      </w:pPr>
      <w:bookmarkStart w:id="3" w:name="spsTitle"/>
      <w:r w:rsidRPr="007C4C36">
        <w:rPr>
          <w:u w:val="single"/>
        </w:rPr>
        <w:t>Draft resolution number 1112, 6 September 2022;</w:t>
      </w:r>
    </w:p>
    <w:p w14:paraId="0791FBA7" w14:textId="77777777" w:rsidR="004E22AE" w:rsidRPr="007C4C36" w:rsidRDefault="00D17951" w:rsidP="003601C0">
      <w:pPr>
        <w:spacing w:before="120" w:after="120"/>
      </w:pPr>
      <w:r w:rsidRPr="007C4C36">
        <w:t>The Resolution 848, 06 March 2024 - previously notified through G/TBT/N/BRA/1448/Add.1 - which contains provisions on essential safety and performance requirements applicable to medical devices and in vitro diagnostic (IVD) medical devices, was rectified.</w:t>
      </w:r>
    </w:p>
    <w:p w14:paraId="066FE4A7" w14:textId="77777777" w:rsidR="004E22AE" w:rsidRPr="007C4C36" w:rsidRDefault="00D17951" w:rsidP="003601C0">
      <w:pPr>
        <w:spacing w:before="120" w:after="120"/>
      </w:pPr>
      <w:r w:rsidRPr="007C4C36">
        <w:t>The republished text is available only in Portuguese and can be downloaded at:</w:t>
      </w:r>
    </w:p>
    <w:p w14:paraId="0DA389E0" w14:textId="77777777" w:rsidR="004E22AE" w:rsidRPr="007C4C36" w:rsidRDefault="000C7D70" w:rsidP="003601C0">
      <w:pPr>
        <w:spacing w:before="120" w:after="120"/>
      </w:pPr>
      <w:hyperlink r:id="rId9" w:tgtFrame="_blank" w:history="1">
        <w:r w:rsidR="00D17951" w:rsidRPr="007C4C36">
          <w:rPr>
            <w:color w:val="0000FF"/>
            <w:u w:val="single"/>
          </w:rPr>
          <w:t>https://www.in.gov.br/en/web/dou/-/retificacao-556236998</w:t>
        </w:r>
      </w:hyperlink>
      <w:bookmarkEnd w:id="3"/>
    </w:p>
    <w:bookmarkStart w:id="4" w:name="spsMeasureAddress"/>
    <w:p w14:paraId="55ED1A7C" w14:textId="77777777" w:rsidR="004E22AE" w:rsidRPr="007C4C36" w:rsidRDefault="00D17951" w:rsidP="003601C0">
      <w:pPr>
        <w:spacing w:after="120"/>
      </w:pPr>
      <w:r>
        <w:fldChar w:fldCharType="begin"/>
      </w:r>
      <w:r>
        <w:instrText>HYPERLINK "https://members.wto.org/crnattachments/2024/TBT/BRA/24_02840_00_x.pdf" \t "_blank"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https://members.wto.org/crnattachments/2024/TBT/BRA/24_02840_00_x.pdf</w:t>
      </w:r>
      <w:r>
        <w:rPr>
          <w:color w:val="0000FF"/>
          <w:u w:val="single"/>
        </w:rPr>
        <w:fldChar w:fldCharType="end"/>
      </w:r>
      <w:bookmarkEnd w:id="4"/>
    </w:p>
    <w:p w14:paraId="041DE529" w14:textId="77777777" w:rsidR="004E22AE" w:rsidRPr="007C4C36" w:rsidRDefault="00D1795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3737" w14:textId="77777777" w:rsidR="00D17951" w:rsidRDefault="00D17951">
      <w:r>
        <w:separator/>
      </w:r>
    </w:p>
  </w:endnote>
  <w:endnote w:type="continuationSeparator" w:id="0">
    <w:p w14:paraId="532EE5BD" w14:textId="77777777" w:rsidR="00D17951" w:rsidRDefault="00D1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96F0" w14:textId="77777777" w:rsidR="004E22AE" w:rsidRPr="007C4C36" w:rsidRDefault="00D1795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3B1D" w14:textId="77777777" w:rsidR="004E22AE" w:rsidRPr="007C4C36" w:rsidRDefault="00D1795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339" w14:textId="77777777" w:rsidR="00D17951" w:rsidRDefault="00D1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49DF" w14:textId="77777777" w:rsidR="00D17951" w:rsidRDefault="00D17951">
      <w:r>
        <w:separator/>
      </w:r>
    </w:p>
  </w:footnote>
  <w:footnote w:type="continuationSeparator" w:id="0">
    <w:p w14:paraId="51E4310E" w14:textId="77777777" w:rsidR="00D17951" w:rsidRDefault="00D1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1C0D" w14:textId="77777777" w:rsidR="004E22AE" w:rsidRPr="007C4C36" w:rsidRDefault="00D1795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02D1256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25517F" w14:textId="77777777" w:rsidR="004E22AE" w:rsidRPr="007C4C36" w:rsidRDefault="00D1795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7EB4505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9331" w14:textId="77777777" w:rsidR="004E22AE" w:rsidRPr="007C4C36" w:rsidRDefault="00D1795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8D1BA2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DE8397" w14:textId="77777777" w:rsidR="004E22AE" w:rsidRPr="007C4C36" w:rsidRDefault="00D1795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36B1E8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4D0E" w14:paraId="2484FEB1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EBD1E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9F0BB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C14D0E" w14:paraId="5953CC3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2B8E17" w14:textId="77777777" w:rsidR="00ED54E0" w:rsidRPr="004E22AE" w:rsidRDefault="00D1795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10C66C" wp14:editId="15990CC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22255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6CE44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14D0E" w14:paraId="35054F84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CF0936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A160A4" w14:textId="77777777" w:rsidR="00ED54E0" w:rsidRPr="007C4C36" w:rsidRDefault="00D17951" w:rsidP="004E22AE">
          <w:pPr>
            <w:jc w:val="right"/>
            <w:rPr>
              <w:b/>
              <w:szCs w:val="16"/>
            </w:rPr>
          </w:pPr>
          <w:bookmarkStart w:id="6" w:name="bmkSymbols"/>
          <w:r w:rsidRPr="007C4C36">
            <w:rPr>
              <w:b/>
              <w:szCs w:val="16"/>
            </w:rPr>
            <w:t>G/TBT/N/BRA/1448/Add.1/Corr.1</w:t>
          </w:r>
          <w:bookmarkEnd w:id="6"/>
        </w:p>
      </w:tc>
    </w:tr>
    <w:tr w:rsidR="00C14D0E" w14:paraId="334D1C5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C84FEC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AEE9D3" w14:textId="65B273C9" w:rsidR="00ED54E0" w:rsidRPr="004E22AE" w:rsidRDefault="00D17951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29 April 2024</w:t>
          </w:r>
        </w:p>
      </w:tc>
    </w:tr>
    <w:tr w:rsidR="00C14D0E" w14:paraId="1B1A8C06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461E63" w14:textId="16EFE230" w:rsidR="00ED54E0" w:rsidRPr="004E22AE" w:rsidRDefault="00D17951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>
            <w:rPr>
              <w:color w:val="FF0000"/>
              <w:szCs w:val="16"/>
            </w:rPr>
            <w:t>24-</w:t>
          </w:r>
          <w:r w:rsidR="000C7D70">
            <w:rPr>
              <w:color w:val="FF0000"/>
              <w:szCs w:val="16"/>
            </w:rPr>
            <w:t>3448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088672" w14:textId="77777777" w:rsidR="00ED54E0" w:rsidRPr="004E22AE" w:rsidRDefault="00D17951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C14D0E" w14:paraId="5A90073B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7A7607" w14:textId="77777777" w:rsidR="00ED54E0" w:rsidRPr="004E22AE" w:rsidRDefault="00D17951" w:rsidP="000F4B07">
          <w:pPr>
            <w:jc w:val="left"/>
            <w:rPr>
              <w:sz w:val="14"/>
              <w:szCs w:val="16"/>
            </w:rPr>
          </w:pPr>
          <w:bookmarkStart w:id="12" w:name="bmkCommittee"/>
          <w:r w:rsidRPr="007C4C36"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0EDF0E" w14:textId="77777777" w:rsidR="00ED54E0" w:rsidRPr="007C4C36" w:rsidRDefault="00D17951" w:rsidP="000F4B07">
          <w:pPr>
            <w:jc w:val="right"/>
            <w:rPr>
              <w:bCs/>
              <w:szCs w:val="18"/>
            </w:rPr>
          </w:pPr>
          <w:bookmarkStart w:id="13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4" w:name="spsOriginalLanguage"/>
          <w:r w:rsidR="00DF3F8A" w:rsidRPr="007C4C36">
            <w:rPr>
              <w:bCs/>
              <w:szCs w:val="18"/>
            </w:rPr>
            <w:t>English</w:t>
          </w:r>
          <w:bookmarkEnd w:id="14"/>
          <w:bookmarkEnd w:id="13"/>
        </w:p>
      </w:tc>
    </w:tr>
  </w:tbl>
  <w:p w14:paraId="627258E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8201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660AE8" w:tentative="1">
      <w:start w:val="1"/>
      <w:numFmt w:val="lowerLetter"/>
      <w:lvlText w:val="%2."/>
      <w:lvlJc w:val="left"/>
      <w:pPr>
        <w:ind w:left="1080" w:hanging="360"/>
      </w:pPr>
    </w:lvl>
    <w:lvl w:ilvl="2" w:tplc="E6E819E0" w:tentative="1">
      <w:start w:val="1"/>
      <w:numFmt w:val="lowerRoman"/>
      <w:lvlText w:val="%3."/>
      <w:lvlJc w:val="right"/>
      <w:pPr>
        <w:ind w:left="1800" w:hanging="180"/>
      </w:pPr>
    </w:lvl>
    <w:lvl w:ilvl="3" w:tplc="11D6BDDE" w:tentative="1">
      <w:start w:val="1"/>
      <w:numFmt w:val="decimal"/>
      <w:lvlText w:val="%4."/>
      <w:lvlJc w:val="left"/>
      <w:pPr>
        <w:ind w:left="2520" w:hanging="360"/>
      </w:pPr>
    </w:lvl>
    <w:lvl w:ilvl="4" w:tplc="A406E7D2" w:tentative="1">
      <w:start w:val="1"/>
      <w:numFmt w:val="lowerLetter"/>
      <w:lvlText w:val="%5."/>
      <w:lvlJc w:val="left"/>
      <w:pPr>
        <w:ind w:left="3240" w:hanging="360"/>
      </w:pPr>
    </w:lvl>
    <w:lvl w:ilvl="5" w:tplc="F900F6C2" w:tentative="1">
      <w:start w:val="1"/>
      <w:numFmt w:val="lowerRoman"/>
      <w:lvlText w:val="%6."/>
      <w:lvlJc w:val="right"/>
      <w:pPr>
        <w:ind w:left="3960" w:hanging="180"/>
      </w:pPr>
    </w:lvl>
    <w:lvl w:ilvl="6" w:tplc="3AAC5AC4" w:tentative="1">
      <w:start w:val="1"/>
      <w:numFmt w:val="decimal"/>
      <w:lvlText w:val="%7."/>
      <w:lvlJc w:val="left"/>
      <w:pPr>
        <w:ind w:left="4680" w:hanging="360"/>
      </w:pPr>
    </w:lvl>
    <w:lvl w:ilvl="7" w:tplc="7BA49F6E" w:tentative="1">
      <w:start w:val="1"/>
      <w:numFmt w:val="lowerLetter"/>
      <w:lvlText w:val="%8."/>
      <w:lvlJc w:val="left"/>
      <w:pPr>
        <w:ind w:left="5400" w:hanging="360"/>
      </w:pPr>
    </w:lvl>
    <w:lvl w:ilvl="8" w:tplc="CF14E7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999944">
    <w:abstractNumId w:val="9"/>
  </w:num>
  <w:num w:numId="2" w16cid:durableId="23796591">
    <w:abstractNumId w:val="7"/>
  </w:num>
  <w:num w:numId="3" w16cid:durableId="544952514">
    <w:abstractNumId w:val="6"/>
  </w:num>
  <w:num w:numId="4" w16cid:durableId="209004769">
    <w:abstractNumId w:val="5"/>
  </w:num>
  <w:num w:numId="5" w16cid:durableId="1052999511">
    <w:abstractNumId w:val="4"/>
  </w:num>
  <w:num w:numId="6" w16cid:durableId="1098063004">
    <w:abstractNumId w:val="12"/>
  </w:num>
  <w:num w:numId="7" w16cid:durableId="2132623829">
    <w:abstractNumId w:val="11"/>
  </w:num>
  <w:num w:numId="8" w16cid:durableId="1387603642">
    <w:abstractNumId w:val="10"/>
  </w:num>
  <w:num w:numId="9" w16cid:durableId="1698890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2316426">
    <w:abstractNumId w:val="13"/>
  </w:num>
  <w:num w:numId="11" w16cid:durableId="1789356277">
    <w:abstractNumId w:val="8"/>
  </w:num>
  <w:num w:numId="12" w16cid:durableId="1561212513">
    <w:abstractNumId w:val="3"/>
  </w:num>
  <w:num w:numId="13" w16cid:durableId="756092465">
    <w:abstractNumId w:val="2"/>
  </w:num>
  <w:num w:numId="14" w16cid:durableId="522324539">
    <w:abstractNumId w:val="1"/>
  </w:num>
  <w:num w:numId="15" w16cid:durableId="15407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C7D70"/>
    <w:rsid w:val="000F4B07"/>
    <w:rsid w:val="0011356B"/>
    <w:rsid w:val="0013337F"/>
    <w:rsid w:val="00182B84"/>
    <w:rsid w:val="001B5FBB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07F15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14D0E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17951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88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retificacao-55623699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475C-E1CA-4002-B9E8-69E94ED8EF4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2024-04-29T12:57:00Z</dcterms:created>
  <dcterms:modified xsi:type="dcterms:W3CDTF">2024-04-29T13:17:00Z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