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29B1" w14:textId="77777777" w:rsidR="002D78C9" w:rsidRDefault="0076010C" w:rsidP="00DD3DD7">
      <w:pPr>
        <w:pStyle w:val="Title"/>
      </w:pPr>
      <w:r w:rsidRPr="002F663C">
        <w:t>NOTIFICATION</w:t>
      </w:r>
    </w:p>
    <w:p w14:paraId="4A8610FD" w14:textId="77777777" w:rsidR="002F663C" w:rsidRPr="002F663C" w:rsidRDefault="0076010C" w:rsidP="00DD3DD7">
      <w:pPr>
        <w:pStyle w:val="Title3"/>
      </w:pPr>
      <w:r w:rsidRPr="002F663C">
        <w:t>Addendum</w:t>
      </w:r>
    </w:p>
    <w:p w14:paraId="1446A1C4" w14:textId="77777777" w:rsidR="002F663C" w:rsidRDefault="0076010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8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Brazil</w:t>
      </w:r>
      <w:r w:rsidRPr="002F663C">
        <w:rPr>
          <w:rFonts w:eastAsia="Calibri" w:cs="Times New Roman"/>
        </w:rPr>
        <w:t>.</w:t>
      </w:r>
    </w:p>
    <w:p w14:paraId="74B8863C" w14:textId="77777777" w:rsidR="001E2E4A" w:rsidRPr="002F663C" w:rsidRDefault="001E2E4A" w:rsidP="001E2E4A">
      <w:pPr>
        <w:rPr>
          <w:rFonts w:eastAsia="Calibri" w:cs="Times New Roman"/>
        </w:rPr>
      </w:pPr>
    </w:p>
    <w:p w14:paraId="6602A82D" w14:textId="77777777" w:rsidR="002F663C" w:rsidRPr="002F663C" w:rsidRDefault="0076010C" w:rsidP="002F663C">
      <w:pPr>
        <w:jc w:val="center"/>
        <w:rPr>
          <w:rFonts w:eastAsia="Calibri" w:cs="Times New Roman"/>
          <w:b/>
        </w:rPr>
      </w:pPr>
      <w:r w:rsidRPr="002F663C">
        <w:rPr>
          <w:rFonts w:eastAsia="Calibri" w:cs="Times New Roman"/>
          <w:b/>
        </w:rPr>
        <w:t>_______________</w:t>
      </w:r>
    </w:p>
    <w:p w14:paraId="0EFAB445" w14:textId="77777777" w:rsidR="002F663C" w:rsidRDefault="002F663C" w:rsidP="002F663C">
      <w:pPr>
        <w:rPr>
          <w:rFonts w:eastAsia="Calibri" w:cs="Times New Roman"/>
        </w:rPr>
      </w:pPr>
    </w:p>
    <w:p w14:paraId="42E28073" w14:textId="77777777" w:rsidR="00C14444" w:rsidRPr="002F663C" w:rsidRDefault="00C14444" w:rsidP="002F663C">
      <w:pPr>
        <w:rPr>
          <w:rFonts w:eastAsia="Calibri" w:cs="Times New Roman"/>
        </w:rPr>
      </w:pPr>
    </w:p>
    <w:p w14:paraId="06669D43" w14:textId="77777777" w:rsidR="002F663C" w:rsidRPr="002F663C" w:rsidRDefault="0076010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Ordinance No. 501, 26 September 2024</w:t>
      </w:r>
    </w:p>
    <w:p w14:paraId="29ABD2E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9246A" w14:paraId="24B38C5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FC5DCC7" w14:textId="77777777" w:rsidR="002F663C" w:rsidRPr="002F663C" w:rsidRDefault="0076010C"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59246A" w14:paraId="52C2946E" w14:textId="77777777" w:rsidTr="00E9471B">
        <w:tc>
          <w:tcPr>
            <w:tcW w:w="851" w:type="dxa"/>
            <w:shd w:val="clear" w:color="auto" w:fill="auto"/>
          </w:tcPr>
          <w:p w14:paraId="171CD655" w14:textId="77777777" w:rsidR="002F663C" w:rsidRPr="00711F9C" w:rsidRDefault="0076010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85728BC" w14:textId="77777777" w:rsidR="002F663C" w:rsidRPr="002F663C" w:rsidRDefault="0076010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59246A" w14:paraId="52E8AB51" w14:textId="77777777" w:rsidTr="00E9471B">
        <w:tc>
          <w:tcPr>
            <w:tcW w:w="851" w:type="dxa"/>
            <w:shd w:val="clear" w:color="auto" w:fill="auto"/>
          </w:tcPr>
          <w:p w14:paraId="0DC51B87" w14:textId="77777777" w:rsidR="002F663C" w:rsidRPr="00711F9C" w:rsidRDefault="0076010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DBDBC2B" w14:textId="77777777" w:rsidR="002F663C" w:rsidRPr="002F663C" w:rsidRDefault="007601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59246A" w14:paraId="734D66A3" w14:textId="77777777" w:rsidTr="00E9471B">
        <w:tc>
          <w:tcPr>
            <w:tcW w:w="851" w:type="dxa"/>
            <w:shd w:val="clear" w:color="auto" w:fill="auto"/>
          </w:tcPr>
          <w:p w14:paraId="43011945" w14:textId="77777777" w:rsidR="002F663C" w:rsidRPr="00711F9C" w:rsidRDefault="0076010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C33338D" w14:textId="77777777" w:rsidR="002F663C" w:rsidRPr="002F663C" w:rsidRDefault="0076010C"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27 September 2024</w:t>
            </w:r>
          </w:p>
        </w:tc>
      </w:tr>
      <w:tr w:rsidR="0059246A" w14:paraId="60629BC6" w14:textId="77777777" w:rsidTr="00E9471B">
        <w:tc>
          <w:tcPr>
            <w:tcW w:w="851" w:type="dxa"/>
            <w:shd w:val="clear" w:color="auto" w:fill="auto"/>
          </w:tcPr>
          <w:p w14:paraId="7B6760D0" w14:textId="77777777" w:rsidR="002F663C" w:rsidRPr="00711F9C" w:rsidRDefault="0076010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7FA1774" w14:textId="77777777" w:rsidR="002F663C" w:rsidRPr="002F663C" w:rsidRDefault="0076010C"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27 September 2024</w:t>
            </w:r>
          </w:p>
        </w:tc>
      </w:tr>
      <w:tr w:rsidR="0059246A" w14:paraId="4603537B" w14:textId="77777777" w:rsidTr="00E9471B">
        <w:tc>
          <w:tcPr>
            <w:tcW w:w="851" w:type="dxa"/>
            <w:shd w:val="clear" w:color="auto" w:fill="auto"/>
          </w:tcPr>
          <w:p w14:paraId="41FEE494" w14:textId="77777777" w:rsidR="002F663C" w:rsidRPr="00711F9C" w:rsidRDefault="0076010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A93DFF3" w14:textId="77777777" w:rsidR="002F663C" w:rsidRPr="002F663C" w:rsidRDefault="0076010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59246A" w14:paraId="23094027" w14:textId="77777777" w:rsidTr="00E9471B">
        <w:tc>
          <w:tcPr>
            <w:tcW w:w="851" w:type="dxa"/>
            <w:shd w:val="clear" w:color="auto" w:fill="auto"/>
          </w:tcPr>
          <w:p w14:paraId="08A6663C" w14:textId="77777777" w:rsidR="002F663C" w:rsidRPr="00711F9C" w:rsidRDefault="0076010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2ACC963" w14:textId="77777777" w:rsidR="002F663C" w:rsidRPr="002F663C" w:rsidRDefault="0076010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69B6C0A4" w14:textId="77777777" w:rsidR="002F663C" w:rsidRPr="002F663C" w:rsidRDefault="0076010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59246A" w14:paraId="47CCEBAC" w14:textId="77777777" w:rsidTr="00E9471B">
        <w:tc>
          <w:tcPr>
            <w:tcW w:w="851" w:type="dxa"/>
            <w:shd w:val="clear" w:color="auto" w:fill="auto"/>
          </w:tcPr>
          <w:p w14:paraId="34EED336" w14:textId="77777777" w:rsidR="002F663C" w:rsidRPr="00711F9C" w:rsidRDefault="0076010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9299D8D" w14:textId="77777777" w:rsidR="002F663C" w:rsidRPr="002F663C" w:rsidRDefault="0076010C"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C8E0961" w14:textId="77777777" w:rsidR="00082727" w:rsidRDefault="004C175E" w:rsidP="00C14444">
            <w:pPr>
              <w:spacing w:before="120" w:after="120"/>
              <w:rPr>
                <w:rFonts w:eastAsia="Calibri" w:cs="Times New Roman"/>
              </w:rPr>
            </w:pPr>
            <w:hyperlink r:id="rId9" w:tgtFrame="_blank" w:history="1">
              <w:r w:rsidR="0076010C">
                <w:rPr>
                  <w:rFonts w:eastAsia="Calibri" w:cs="Times New Roman"/>
                  <w:color w:val="0000FF"/>
                  <w:u w:val="single"/>
                </w:rPr>
                <w:t>https://www.in.gov.br/en/web/dou/-/portaria-n-501-de-26-de-setembro-de-2024-587033346</w:t>
              </w:r>
            </w:hyperlink>
          </w:p>
          <w:p w14:paraId="500AC24D" w14:textId="77777777" w:rsidR="002F663C" w:rsidRPr="002F663C" w:rsidRDefault="0076010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59246A" w14:paraId="3F0E062D" w14:textId="77777777" w:rsidTr="00E9471B">
        <w:tc>
          <w:tcPr>
            <w:tcW w:w="851" w:type="dxa"/>
            <w:shd w:val="clear" w:color="auto" w:fill="auto"/>
          </w:tcPr>
          <w:p w14:paraId="1B7A0E50" w14:textId="77777777" w:rsidR="002F663C" w:rsidRPr="00711F9C" w:rsidRDefault="0076010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483CAF6" w14:textId="77777777" w:rsidR="002F663C" w:rsidRPr="002F663C" w:rsidRDefault="0076010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59246A" w14:paraId="121C8E23" w14:textId="77777777" w:rsidTr="00E9471B">
        <w:tc>
          <w:tcPr>
            <w:tcW w:w="851" w:type="dxa"/>
            <w:tcBorders>
              <w:bottom w:val="double" w:sz="4" w:space="0" w:color="auto"/>
            </w:tcBorders>
            <w:shd w:val="clear" w:color="auto" w:fill="auto"/>
          </w:tcPr>
          <w:p w14:paraId="180FB8C7" w14:textId="77777777" w:rsidR="002F663C" w:rsidRPr="00711F9C" w:rsidRDefault="0076010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E306843" w14:textId="77777777" w:rsidR="002F663C" w:rsidRPr="002F663C" w:rsidRDefault="0076010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C85863D" w14:textId="77777777" w:rsidR="002F663C" w:rsidRPr="002F663C" w:rsidRDefault="002F663C" w:rsidP="002F663C">
      <w:pPr>
        <w:jc w:val="left"/>
        <w:rPr>
          <w:rFonts w:eastAsia="Calibri" w:cs="Times New Roman"/>
          <w:highlight w:val="yellow"/>
        </w:rPr>
      </w:pPr>
    </w:p>
    <w:p w14:paraId="597BD4D5" w14:textId="77777777" w:rsidR="003971FF" w:rsidRPr="007F6EA2" w:rsidRDefault="0076010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National Institute of Metrology, Quality and Technology - Inmetro, issued Ordinance No. 501, 26 September 2024, which amends Inmetro Ordinance No. 139, 19 March 2021, that approves the conformity assessment requirements for steel bars and wires intended for reinforcement for reinforced concrete structures - Consolidated.</w:t>
      </w:r>
    </w:p>
    <w:p w14:paraId="7EA0E730" w14:textId="77777777" w:rsidR="006C5A96" w:rsidRDefault="0076010C" w:rsidP="006C5A96">
      <w:pPr>
        <w:jc w:val="center"/>
        <w:rPr>
          <w:b/>
        </w:rPr>
      </w:pPr>
      <w:r w:rsidRPr="003971FF">
        <w:rPr>
          <w:b/>
        </w:rPr>
        <w:t>__________</w:t>
      </w:r>
    </w:p>
    <w:p w14:paraId="7DD20748" w14:textId="77777777" w:rsidR="004D4D19" w:rsidRDefault="004D4D19" w:rsidP="007F38C2">
      <w:pPr>
        <w:jc w:val="center"/>
        <w:rPr>
          <w:b/>
        </w:rPr>
      </w:pPr>
    </w:p>
    <w:p w14:paraId="7D6E5641"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0E24" w14:textId="77777777" w:rsidR="0076010C" w:rsidRDefault="0076010C">
      <w:r>
        <w:separator/>
      </w:r>
    </w:p>
  </w:endnote>
  <w:endnote w:type="continuationSeparator" w:id="0">
    <w:p w14:paraId="3130F4AD" w14:textId="77777777" w:rsidR="0076010C" w:rsidRDefault="0076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929B" w14:textId="77777777" w:rsidR="00544326" w:rsidRPr="00DD3DD7" w:rsidRDefault="0076010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400A" w14:textId="77777777" w:rsidR="00544326" w:rsidRPr="00DD3DD7" w:rsidRDefault="0076010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54BD" w14:textId="77777777" w:rsidR="004D3A6A" w:rsidRDefault="0076010C" w:rsidP="00ED54E0">
      <w:r>
        <w:separator/>
      </w:r>
    </w:p>
  </w:footnote>
  <w:footnote w:type="continuationSeparator" w:id="0">
    <w:p w14:paraId="265CD57B" w14:textId="77777777" w:rsidR="004D3A6A" w:rsidRDefault="0076010C" w:rsidP="00ED54E0">
      <w:r>
        <w:continuationSeparator/>
      </w:r>
    </w:p>
  </w:footnote>
  <w:footnote w:id="1">
    <w:p w14:paraId="3EF5C89A" w14:textId="77777777" w:rsidR="007F6EA2" w:rsidRDefault="0076010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003B" w14:textId="77777777" w:rsidR="00DD3DD7" w:rsidRDefault="0076010C"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8F68CC9" w14:textId="77777777" w:rsidR="004D4D19" w:rsidRPr="00DD3DD7" w:rsidRDefault="004D4D19" w:rsidP="00DD3DD7">
    <w:pPr>
      <w:pStyle w:val="Header"/>
      <w:pBdr>
        <w:bottom w:val="single" w:sz="4" w:space="1" w:color="auto"/>
      </w:pBdr>
      <w:tabs>
        <w:tab w:val="clear" w:pos="4513"/>
        <w:tab w:val="clear" w:pos="9027"/>
      </w:tabs>
      <w:jc w:val="center"/>
    </w:pPr>
  </w:p>
  <w:p w14:paraId="1583BB16" w14:textId="77777777" w:rsidR="00DD3DD7" w:rsidRPr="00DD3DD7" w:rsidRDefault="0076010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9ACFA1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7E39" w14:textId="77777777" w:rsidR="00DD3DD7" w:rsidRPr="00DD3DD7" w:rsidRDefault="0076010C" w:rsidP="00DD3DD7">
    <w:pPr>
      <w:pStyle w:val="Header"/>
      <w:pBdr>
        <w:bottom w:val="single" w:sz="4" w:space="1" w:color="auto"/>
      </w:pBdr>
      <w:tabs>
        <w:tab w:val="clear" w:pos="4513"/>
        <w:tab w:val="clear" w:pos="9027"/>
      </w:tabs>
      <w:jc w:val="center"/>
    </w:pPr>
    <w:bookmarkStart w:id="3" w:name="spsSymbolHeader"/>
    <w:r w:rsidRPr="00DD3DD7">
      <w:t>G/TBT/N/BRA/165/Add.7</w:t>
    </w:r>
    <w:bookmarkEnd w:id="3"/>
  </w:p>
  <w:p w14:paraId="7CFB1351" w14:textId="77777777" w:rsidR="00DD3DD7" w:rsidRPr="00DD3DD7" w:rsidRDefault="00DD3DD7" w:rsidP="00DD3DD7">
    <w:pPr>
      <w:pStyle w:val="Header"/>
      <w:pBdr>
        <w:bottom w:val="single" w:sz="4" w:space="1" w:color="auto"/>
      </w:pBdr>
      <w:tabs>
        <w:tab w:val="clear" w:pos="4513"/>
        <w:tab w:val="clear" w:pos="9027"/>
      </w:tabs>
      <w:jc w:val="center"/>
    </w:pPr>
  </w:p>
  <w:p w14:paraId="4720F69F" w14:textId="77777777" w:rsidR="00DD3DD7" w:rsidRPr="00DD3DD7" w:rsidRDefault="0076010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6A216B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246A" w14:paraId="67FCDA5A" w14:textId="77777777" w:rsidTr="00544326">
      <w:trPr>
        <w:trHeight w:val="240"/>
        <w:jc w:val="center"/>
      </w:trPr>
      <w:tc>
        <w:tcPr>
          <w:tcW w:w="3794" w:type="dxa"/>
          <w:shd w:val="clear" w:color="auto" w:fill="FFFFFF"/>
          <w:tcMar>
            <w:left w:w="108" w:type="dxa"/>
            <w:right w:w="108" w:type="dxa"/>
          </w:tcMar>
          <w:vAlign w:val="center"/>
        </w:tcPr>
        <w:p w14:paraId="3214612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2DF9FA8" w14:textId="77777777" w:rsidR="00ED54E0" w:rsidRPr="00182B84" w:rsidRDefault="0076010C" w:rsidP="00425DC5">
          <w:pPr>
            <w:jc w:val="right"/>
            <w:rPr>
              <w:b/>
              <w:color w:val="FF0000"/>
              <w:szCs w:val="16"/>
            </w:rPr>
          </w:pPr>
          <w:r>
            <w:rPr>
              <w:b/>
              <w:color w:val="FF0000"/>
              <w:szCs w:val="16"/>
            </w:rPr>
            <w:t xml:space="preserve"> </w:t>
          </w:r>
        </w:p>
      </w:tc>
    </w:tr>
    <w:tr w:rsidR="0059246A" w14:paraId="08355191" w14:textId="77777777" w:rsidTr="00544326">
      <w:trPr>
        <w:trHeight w:val="213"/>
        <w:jc w:val="center"/>
      </w:trPr>
      <w:tc>
        <w:tcPr>
          <w:tcW w:w="3794" w:type="dxa"/>
          <w:vMerge w:val="restart"/>
          <w:shd w:val="clear" w:color="auto" w:fill="FFFFFF"/>
          <w:tcMar>
            <w:left w:w="0" w:type="dxa"/>
            <w:right w:w="0" w:type="dxa"/>
          </w:tcMar>
        </w:tcPr>
        <w:p w14:paraId="6A51A53B" w14:textId="77777777" w:rsidR="00ED54E0" w:rsidRPr="00182B84" w:rsidRDefault="0076010C" w:rsidP="00425DC5">
          <w:pPr>
            <w:jc w:val="left"/>
          </w:pPr>
          <w:r w:rsidRPr="00182B84">
            <w:rPr>
              <w:noProof/>
              <w:lang w:val="en-US"/>
            </w:rPr>
            <w:drawing>
              <wp:inline distT="0" distB="0" distL="0" distR="0" wp14:anchorId="6AA7D7ED" wp14:editId="4413998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859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3CAFE9" w14:textId="77777777" w:rsidR="00ED54E0" w:rsidRPr="00182B84" w:rsidRDefault="00ED54E0" w:rsidP="00425DC5">
          <w:pPr>
            <w:jc w:val="right"/>
            <w:rPr>
              <w:b/>
              <w:szCs w:val="16"/>
            </w:rPr>
          </w:pPr>
        </w:p>
      </w:tc>
    </w:tr>
    <w:tr w:rsidR="0059246A" w14:paraId="0BF13440" w14:textId="77777777" w:rsidTr="00544326">
      <w:trPr>
        <w:trHeight w:val="868"/>
        <w:jc w:val="center"/>
      </w:trPr>
      <w:tc>
        <w:tcPr>
          <w:tcW w:w="3794" w:type="dxa"/>
          <w:vMerge/>
          <w:shd w:val="clear" w:color="auto" w:fill="FFFFFF"/>
          <w:tcMar>
            <w:left w:w="108" w:type="dxa"/>
            <w:right w:w="108" w:type="dxa"/>
          </w:tcMar>
        </w:tcPr>
        <w:p w14:paraId="0086EBF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3161BDF" w14:textId="77777777" w:rsidR="00DD3DD7" w:rsidRPr="002F663C" w:rsidRDefault="0076010C" w:rsidP="00DD3DD7">
          <w:pPr>
            <w:jc w:val="right"/>
            <w:rPr>
              <w:rFonts w:eastAsia="Calibri" w:cs="Times New Roman"/>
              <w:b/>
              <w:szCs w:val="16"/>
            </w:rPr>
          </w:pPr>
          <w:bookmarkStart w:id="4" w:name="bmkSymbols"/>
          <w:r w:rsidRPr="002F663C">
            <w:rPr>
              <w:rFonts w:eastAsia="Calibri" w:cs="Times New Roman"/>
              <w:b/>
              <w:szCs w:val="16"/>
            </w:rPr>
            <w:t>G/TBT/N/BRA/165/Add.7</w:t>
          </w:r>
          <w:bookmarkEnd w:id="4"/>
        </w:p>
        <w:p w14:paraId="12381102" w14:textId="77777777" w:rsidR="00C14444" w:rsidRPr="00C14444" w:rsidRDefault="00C14444" w:rsidP="00C14444">
          <w:pPr>
            <w:jc w:val="center"/>
            <w:rPr>
              <w:szCs w:val="16"/>
            </w:rPr>
          </w:pPr>
        </w:p>
      </w:tc>
    </w:tr>
    <w:tr w:rsidR="0059246A" w14:paraId="651530AD" w14:textId="77777777" w:rsidTr="00544326">
      <w:trPr>
        <w:trHeight w:val="240"/>
        <w:jc w:val="center"/>
      </w:trPr>
      <w:tc>
        <w:tcPr>
          <w:tcW w:w="3794" w:type="dxa"/>
          <w:vMerge/>
          <w:shd w:val="clear" w:color="auto" w:fill="FFFFFF"/>
          <w:tcMar>
            <w:left w:w="108" w:type="dxa"/>
            <w:right w:w="108" w:type="dxa"/>
          </w:tcMar>
          <w:vAlign w:val="center"/>
        </w:tcPr>
        <w:p w14:paraId="3F6E2968" w14:textId="77777777" w:rsidR="00ED54E0" w:rsidRPr="00182B84" w:rsidRDefault="00ED54E0" w:rsidP="00425DC5"/>
      </w:tc>
      <w:tc>
        <w:tcPr>
          <w:tcW w:w="5448" w:type="dxa"/>
          <w:gridSpan w:val="2"/>
          <w:shd w:val="clear" w:color="auto" w:fill="FFFFFF"/>
          <w:tcMar>
            <w:left w:w="108" w:type="dxa"/>
            <w:right w:w="108" w:type="dxa"/>
          </w:tcMar>
          <w:vAlign w:val="center"/>
        </w:tcPr>
        <w:p w14:paraId="0037506E" w14:textId="1CB622C4" w:rsidR="00ED54E0" w:rsidRPr="00182B84" w:rsidRDefault="0076010C" w:rsidP="00425DC5">
          <w:pPr>
            <w:jc w:val="right"/>
            <w:rPr>
              <w:szCs w:val="16"/>
            </w:rPr>
          </w:pPr>
          <w:bookmarkStart w:id="5" w:name="bmkDate"/>
          <w:bookmarkEnd w:id="5"/>
          <w:r>
            <w:rPr>
              <w:szCs w:val="16"/>
            </w:rPr>
            <w:t>8 October 2024</w:t>
          </w:r>
        </w:p>
      </w:tc>
    </w:tr>
    <w:tr w:rsidR="0059246A" w14:paraId="6AE5280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F936D6" w14:textId="43174A76" w:rsidR="00ED54E0" w:rsidRPr="00182B84" w:rsidRDefault="0076010C"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4C175E">
            <w:rPr>
              <w:rFonts w:eastAsia="Calibri" w:cs="Times New Roman"/>
              <w:color w:val="FF0000"/>
              <w:szCs w:val="16"/>
            </w:rPr>
            <w:t>6963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BB99DBE" w14:textId="77777777" w:rsidR="00ED54E0" w:rsidRPr="00182B84" w:rsidRDefault="0076010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9246A" w14:paraId="4550A26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3CD873" w14:textId="77777777" w:rsidR="00ED54E0" w:rsidRPr="00182B84" w:rsidRDefault="0076010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D489A34" w14:textId="77777777" w:rsidR="00ED54E0" w:rsidRPr="00182B84" w:rsidRDefault="0076010C"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4173C16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F8CCC2">
      <w:start w:val="1"/>
      <w:numFmt w:val="decimal"/>
      <w:pStyle w:val="SummaryText"/>
      <w:lvlText w:val="%1."/>
      <w:lvlJc w:val="left"/>
      <w:pPr>
        <w:ind w:left="360" w:hanging="360"/>
      </w:pPr>
    </w:lvl>
    <w:lvl w:ilvl="1" w:tplc="ED0A1BEC" w:tentative="1">
      <w:start w:val="1"/>
      <w:numFmt w:val="lowerLetter"/>
      <w:lvlText w:val="%2."/>
      <w:lvlJc w:val="left"/>
      <w:pPr>
        <w:ind w:left="1080" w:hanging="360"/>
      </w:pPr>
    </w:lvl>
    <w:lvl w:ilvl="2" w:tplc="9F88C6FA" w:tentative="1">
      <w:start w:val="1"/>
      <w:numFmt w:val="lowerRoman"/>
      <w:lvlText w:val="%3."/>
      <w:lvlJc w:val="right"/>
      <w:pPr>
        <w:ind w:left="1800" w:hanging="180"/>
      </w:pPr>
    </w:lvl>
    <w:lvl w:ilvl="3" w:tplc="077C8262" w:tentative="1">
      <w:start w:val="1"/>
      <w:numFmt w:val="decimal"/>
      <w:lvlText w:val="%4."/>
      <w:lvlJc w:val="left"/>
      <w:pPr>
        <w:ind w:left="2520" w:hanging="360"/>
      </w:pPr>
    </w:lvl>
    <w:lvl w:ilvl="4" w:tplc="8DEC39FE" w:tentative="1">
      <w:start w:val="1"/>
      <w:numFmt w:val="lowerLetter"/>
      <w:lvlText w:val="%5."/>
      <w:lvlJc w:val="left"/>
      <w:pPr>
        <w:ind w:left="3240" w:hanging="360"/>
      </w:pPr>
    </w:lvl>
    <w:lvl w:ilvl="5" w:tplc="39ECA6C0" w:tentative="1">
      <w:start w:val="1"/>
      <w:numFmt w:val="lowerRoman"/>
      <w:lvlText w:val="%6."/>
      <w:lvlJc w:val="right"/>
      <w:pPr>
        <w:ind w:left="3960" w:hanging="180"/>
      </w:pPr>
    </w:lvl>
    <w:lvl w:ilvl="6" w:tplc="91528836" w:tentative="1">
      <w:start w:val="1"/>
      <w:numFmt w:val="decimal"/>
      <w:lvlText w:val="%7."/>
      <w:lvlJc w:val="left"/>
      <w:pPr>
        <w:ind w:left="4680" w:hanging="360"/>
      </w:pPr>
    </w:lvl>
    <w:lvl w:ilvl="7" w:tplc="E7D6A22A" w:tentative="1">
      <w:start w:val="1"/>
      <w:numFmt w:val="lowerLetter"/>
      <w:lvlText w:val="%8."/>
      <w:lvlJc w:val="left"/>
      <w:pPr>
        <w:ind w:left="5400" w:hanging="360"/>
      </w:pPr>
    </w:lvl>
    <w:lvl w:ilvl="8" w:tplc="AFA4A08A" w:tentative="1">
      <w:start w:val="1"/>
      <w:numFmt w:val="lowerRoman"/>
      <w:lvlText w:val="%9."/>
      <w:lvlJc w:val="right"/>
      <w:pPr>
        <w:ind w:left="6120" w:hanging="180"/>
      </w:pPr>
    </w:lvl>
  </w:abstractNum>
  <w:num w:numId="1" w16cid:durableId="1495880926">
    <w:abstractNumId w:val="9"/>
  </w:num>
  <w:num w:numId="2" w16cid:durableId="833302552">
    <w:abstractNumId w:val="7"/>
  </w:num>
  <w:num w:numId="3" w16cid:durableId="1511948058">
    <w:abstractNumId w:val="6"/>
  </w:num>
  <w:num w:numId="4" w16cid:durableId="434256623">
    <w:abstractNumId w:val="5"/>
  </w:num>
  <w:num w:numId="5" w16cid:durableId="193740350">
    <w:abstractNumId w:val="4"/>
  </w:num>
  <w:num w:numId="6" w16cid:durableId="286816194">
    <w:abstractNumId w:val="12"/>
  </w:num>
  <w:num w:numId="7" w16cid:durableId="1504005164">
    <w:abstractNumId w:val="11"/>
  </w:num>
  <w:num w:numId="8" w16cid:durableId="639116240">
    <w:abstractNumId w:val="10"/>
  </w:num>
  <w:num w:numId="9" w16cid:durableId="1821339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3061422">
    <w:abstractNumId w:val="13"/>
  </w:num>
  <w:num w:numId="11" w16cid:durableId="1130593470">
    <w:abstractNumId w:val="8"/>
  </w:num>
  <w:num w:numId="12" w16cid:durableId="153959678">
    <w:abstractNumId w:val="3"/>
  </w:num>
  <w:num w:numId="13" w16cid:durableId="1245263644">
    <w:abstractNumId w:val="2"/>
  </w:num>
  <w:num w:numId="14" w16cid:durableId="604582465">
    <w:abstractNumId w:val="1"/>
  </w:num>
  <w:num w:numId="15" w16cid:durableId="1472091496">
    <w:abstractNumId w:val="0"/>
  </w:num>
  <w:num w:numId="16" w16cid:durableId="158499415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22C5"/>
    <w:rsid w:val="001E291F"/>
    <w:rsid w:val="001E2E4A"/>
    <w:rsid w:val="00223DA8"/>
    <w:rsid w:val="00233408"/>
    <w:rsid w:val="00265A0E"/>
    <w:rsid w:val="0027067B"/>
    <w:rsid w:val="00281997"/>
    <w:rsid w:val="002B1B5D"/>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175E"/>
    <w:rsid w:val="004C5A53"/>
    <w:rsid w:val="004D3A6A"/>
    <w:rsid w:val="004D4D19"/>
    <w:rsid w:val="004F203A"/>
    <w:rsid w:val="005336B8"/>
    <w:rsid w:val="00544326"/>
    <w:rsid w:val="00547B5F"/>
    <w:rsid w:val="005733F2"/>
    <w:rsid w:val="00573D49"/>
    <w:rsid w:val="0059246A"/>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10C"/>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gov.br/en/web/dou/-/portaria-n-501-de-26-de-setembro-de-2024-58703334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6BB3-2A9B-4089-A69A-54DF92B6A59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166</Words>
  <Characters>1001</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2024-10-08T09:17:00Z</dcterms:created>
  <dcterms:modified xsi:type="dcterms:W3CDTF">2024-10-08T10:14:00Z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