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B5F3" w14:textId="77777777" w:rsidR="002D78C9" w:rsidRDefault="00ED6C87" w:rsidP="00DD3DD7">
      <w:pPr>
        <w:pStyle w:val="Title"/>
      </w:pPr>
      <w:r w:rsidRPr="002F663C">
        <w:t>NOTIFICATION</w:t>
      </w:r>
    </w:p>
    <w:p w14:paraId="18C91BF9" w14:textId="77777777" w:rsidR="002F663C" w:rsidRPr="002F663C" w:rsidRDefault="00ED6C87" w:rsidP="00DD3DD7">
      <w:pPr>
        <w:pStyle w:val="Title3"/>
      </w:pPr>
      <w:r w:rsidRPr="002F663C">
        <w:t>Addendum</w:t>
      </w:r>
    </w:p>
    <w:p w14:paraId="7642DA1F" w14:textId="77777777" w:rsidR="002F663C" w:rsidRDefault="00ED6C8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May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Canada</w:t>
      </w:r>
      <w:bookmarkEnd w:id="1"/>
      <w:bookmarkEnd w:id="2"/>
      <w:r w:rsidRPr="002F663C">
        <w:rPr>
          <w:rFonts w:eastAsia="Calibri" w:cs="Times New Roman"/>
        </w:rPr>
        <w:t>.</w:t>
      </w:r>
    </w:p>
    <w:p w14:paraId="7DB6E014" w14:textId="77777777" w:rsidR="001E2E4A" w:rsidRPr="002F663C" w:rsidRDefault="001E2E4A" w:rsidP="001E2E4A">
      <w:pPr>
        <w:rPr>
          <w:rFonts w:eastAsia="Calibri" w:cs="Times New Roman"/>
        </w:rPr>
      </w:pPr>
    </w:p>
    <w:p w14:paraId="6BBF532D" w14:textId="77777777" w:rsidR="002F663C" w:rsidRPr="002F663C" w:rsidRDefault="00ED6C87" w:rsidP="002F663C">
      <w:pPr>
        <w:jc w:val="center"/>
        <w:rPr>
          <w:rFonts w:eastAsia="Calibri" w:cs="Times New Roman"/>
          <w:b/>
        </w:rPr>
      </w:pPr>
      <w:r w:rsidRPr="002F663C">
        <w:rPr>
          <w:rFonts w:eastAsia="Calibri" w:cs="Times New Roman"/>
          <w:b/>
        </w:rPr>
        <w:t>_______________</w:t>
      </w:r>
    </w:p>
    <w:p w14:paraId="25E6E58D" w14:textId="77777777" w:rsidR="002F663C" w:rsidRDefault="002F663C" w:rsidP="002F663C">
      <w:pPr>
        <w:rPr>
          <w:rFonts w:eastAsia="Calibri" w:cs="Times New Roman"/>
        </w:rPr>
      </w:pPr>
    </w:p>
    <w:p w14:paraId="260123F9" w14:textId="77777777" w:rsidR="00C14444" w:rsidRPr="002F663C" w:rsidRDefault="00C14444" w:rsidP="002F663C">
      <w:pPr>
        <w:rPr>
          <w:rFonts w:eastAsia="Calibri" w:cs="Times New Roman"/>
        </w:rPr>
      </w:pPr>
    </w:p>
    <w:p w14:paraId="14CDC174" w14:textId="77777777" w:rsidR="002F663C" w:rsidRPr="002F663C" w:rsidRDefault="00ED6C8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Regulations Amending Certain Regulations Concerning the Disclosure of Cosmetic Ingredients</w:t>
      </w:r>
      <w:bookmarkEnd w:id="3"/>
    </w:p>
    <w:p w14:paraId="3483493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96702" w14:paraId="5E28DBE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B9DC204" w14:textId="77777777" w:rsidR="002F663C" w:rsidRPr="002F663C" w:rsidRDefault="00ED6C87"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96702" w14:paraId="4204C706" w14:textId="77777777" w:rsidTr="00E9471B">
        <w:tc>
          <w:tcPr>
            <w:tcW w:w="851" w:type="dxa"/>
            <w:shd w:val="clear" w:color="auto" w:fill="auto"/>
          </w:tcPr>
          <w:p w14:paraId="608945EB" w14:textId="77777777" w:rsidR="002F663C" w:rsidRPr="00711F9C" w:rsidRDefault="00ED6C87"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D4C4521" w14:textId="77777777" w:rsidR="002F663C" w:rsidRPr="002F663C" w:rsidRDefault="00ED6C8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96702" w14:paraId="1FC800BD" w14:textId="77777777" w:rsidTr="00E9471B">
        <w:tc>
          <w:tcPr>
            <w:tcW w:w="851" w:type="dxa"/>
            <w:shd w:val="clear" w:color="auto" w:fill="auto"/>
          </w:tcPr>
          <w:p w14:paraId="4C540852" w14:textId="77777777" w:rsidR="002F663C" w:rsidRPr="00711F9C" w:rsidRDefault="00ED6C87"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4ED01525" w14:textId="77777777" w:rsidR="002F663C" w:rsidRPr="002F663C" w:rsidRDefault="00ED6C8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12 April 2024</w:t>
            </w:r>
            <w:bookmarkEnd w:id="8"/>
          </w:p>
        </w:tc>
      </w:tr>
      <w:tr w:rsidR="00896702" w14:paraId="53466C00" w14:textId="77777777" w:rsidTr="00E9471B">
        <w:tc>
          <w:tcPr>
            <w:tcW w:w="851" w:type="dxa"/>
            <w:shd w:val="clear" w:color="auto" w:fill="auto"/>
          </w:tcPr>
          <w:p w14:paraId="56D11366" w14:textId="77777777" w:rsidR="002F663C" w:rsidRPr="00711F9C" w:rsidRDefault="00ED6C87"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DE2077F" w14:textId="77777777" w:rsidR="002F663C" w:rsidRPr="002F663C" w:rsidRDefault="00ED6C8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24 April 2024</w:t>
            </w:r>
            <w:bookmarkEnd w:id="10"/>
          </w:p>
        </w:tc>
      </w:tr>
      <w:tr w:rsidR="00896702" w14:paraId="5ADE99D8" w14:textId="77777777" w:rsidTr="00E9471B">
        <w:tc>
          <w:tcPr>
            <w:tcW w:w="851" w:type="dxa"/>
            <w:shd w:val="clear" w:color="auto" w:fill="auto"/>
          </w:tcPr>
          <w:p w14:paraId="4FAA262C" w14:textId="77777777" w:rsidR="002F663C" w:rsidRPr="00711F9C" w:rsidRDefault="00ED6C87"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D874E95" w14:textId="77777777" w:rsidR="002F663C" w:rsidRPr="002F663C" w:rsidRDefault="00ED6C8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These Regulations, except for the requirements for the disclosure of fragrance allergens, come into force on the 180 day after the day on which the Regulations are registered. The requirement for the disclosure of fragrance allergens comes in force on the second anniversary of the day on which these Regulations are registered.</w:t>
            </w:r>
            <w:bookmarkEnd w:id="12"/>
          </w:p>
        </w:tc>
      </w:tr>
      <w:tr w:rsidR="00896702" w14:paraId="0683205D" w14:textId="77777777" w:rsidTr="00E9471B">
        <w:tc>
          <w:tcPr>
            <w:tcW w:w="851" w:type="dxa"/>
            <w:shd w:val="clear" w:color="auto" w:fill="auto"/>
          </w:tcPr>
          <w:p w14:paraId="28C0ED01" w14:textId="77777777" w:rsidR="002F663C" w:rsidRPr="00711F9C" w:rsidRDefault="00ED6C87"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C510AAB" w14:textId="77777777" w:rsidR="002F663C" w:rsidRPr="002F663C" w:rsidRDefault="00ED6C8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C130AA7" w14:textId="77777777" w:rsidR="002F663C" w:rsidRPr="002F663C" w:rsidRDefault="00ED6C87" w:rsidP="00EB7B40">
            <w:pPr>
              <w:spacing w:before="120" w:after="120"/>
              <w:rPr>
                <w:rFonts w:eastAsia="Calibri" w:cs="Times New Roman"/>
              </w:rPr>
            </w:pPr>
            <w:r w:rsidRPr="002F663C">
              <w:rPr>
                <w:rFonts w:eastAsia="Calibri" w:cs="Times New Roman"/>
              </w:rPr>
              <w:t>Canada Gazette, Part 2, Volume 158, Number 9: Regulations Amending Certain Regulations Concerning the Disclosure of Cosmetic Ingredients</w:t>
            </w:r>
          </w:p>
          <w:p w14:paraId="218C7BEA" w14:textId="77777777" w:rsidR="002F663C" w:rsidRPr="002F663C" w:rsidRDefault="0085459F" w:rsidP="00EB7B40">
            <w:pPr>
              <w:spacing w:before="120" w:after="120"/>
              <w:rPr>
                <w:rFonts w:eastAsia="Calibri" w:cs="Times New Roman"/>
              </w:rPr>
            </w:pPr>
            <w:hyperlink r:id="rId9" w:tgtFrame="_blank" w:history="1">
              <w:r w:rsidR="00ED6C87" w:rsidRPr="002F663C">
                <w:rPr>
                  <w:rFonts w:eastAsia="Calibri" w:cs="Times New Roman"/>
                  <w:color w:val="0000FF"/>
                  <w:u w:val="single"/>
                </w:rPr>
                <w:t>https://canadagazette.gc.ca/rp-pr/p2/2024/2024-04-24/html/sor</w:t>
              </w:r>
              <w:r w:rsidR="00ED6C87" w:rsidRPr="002F663C">
                <w:rPr>
                  <w:rFonts w:eastAsia="Calibri" w:cs="Times New Roman"/>
                  <w:color w:val="0000FF"/>
                  <w:u w:val="single"/>
                </w:rPr>
                <w:t>-</w:t>
              </w:r>
              <w:r w:rsidR="00ED6C87" w:rsidRPr="002F663C">
                <w:rPr>
                  <w:rFonts w:eastAsia="Calibri" w:cs="Times New Roman"/>
                  <w:color w:val="0000FF"/>
                  <w:u w:val="single"/>
                </w:rPr>
                <w:t>dors63-eng.html</w:t>
              </w:r>
            </w:hyperlink>
          </w:p>
          <w:p w14:paraId="257A9248" w14:textId="77777777" w:rsidR="002F663C" w:rsidRPr="00ED6C87" w:rsidRDefault="00ED6C87" w:rsidP="00EB7B40">
            <w:pPr>
              <w:spacing w:before="120" w:after="120"/>
              <w:rPr>
                <w:rFonts w:eastAsia="Calibri" w:cs="Times New Roman"/>
                <w:lang w:val="fr-CH"/>
              </w:rPr>
            </w:pPr>
            <w:r w:rsidRPr="00ED6C87">
              <w:rPr>
                <w:rFonts w:eastAsia="Calibri" w:cs="Times New Roman"/>
                <w:lang w:val="fr-CH"/>
              </w:rPr>
              <w:t>(English)</w:t>
            </w:r>
          </w:p>
          <w:p w14:paraId="6A4A9890" w14:textId="77777777" w:rsidR="002F663C" w:rsidRPr="00ED6C87" w:rsidRDefault="00ED6C87" w:rsidP="00EB7B40">
            <w:pPr>
              <w:spacing w:before="120" w:after="120"/>
              <w:rPr>
                <w:rFonts w:eastAsia="Calibri" w:cs="Times New Roman"/>
                <w:lang w:val="fr-CH"/>
              </w:rPr>
            </w:pPr>
            <w:r w:rsidRPr="00ED6C87">
              <w:rPr>
                <w:rFonts w:eastAsia="Calibri" w:cs="Times New Roman"/>
                <w:lang w:val="fr-CH"/>
              </w:rPr>
              <w:t xml:space="preserve">La Gazette du Canada, Partie 2, volume 158, numéro 9 : Règlement modifiant certains règlements visant la divulgation des ingrédients des cosmétiques </w:t>
            </w:r>
            <w:hyperlink r:id="rId10" w:tgtFrame="_blank" w:history="1">
              <w:r w:rsidRPr="00ED6C87">
                <w:rPr>
                  <w:rFonts w:eastAsia="Calibri" w:cs="Times New Roman"/>
                  <w:color w:val="0000FF"/>
                  <w:u w:val="single"/>
                  <w:lang w:val="fr-CH"/>
                </w:rPr>
                <w:t>https://canadagazette.gc.ca/rp-pr/p2/2024/2024-04-2</w:t>
              </w:r>
              <w:r w:rsidRPr="00ED6C87">
                <w:rPr>
                  <w:rFonts w:eastAsia="Calibri" w:cs="Times New Roman"/>
                  <w:color w:val="0000FF"/>
                  <w:u w:val="single"/>
                  <w:lang w:val="fr-CH"/>
                </w:rPr>
                <w:t>4</w:t>
              </w:r>
              <w:r w:rsidRPr="00ED6C87">
                <w:rPr>
                  <w:rFonts w:eastAsia="Calibri" w:cs="Times New Roman"/>
                  <w:color w:val="0000FF"/>
                  <w:u w:val="single"/>
                  <w:lang w:val="fr-CH"/>
                </w:rPr>
                <w:t>/html/sor-dors63-fra.html</w:t>
              </w:r>
            </w:hyperlink>
          </w:p>
          <w:p w14:paraId="4ACBC64C" w14:textId="77777777" w:rsidR="002F663C" w:rsidRPr="002F663C" w:rsidRDefault="00ED6C87" w:rsidP="00EB7B40">
            <w:pPr>
              <w:spacing w:before="120" w:after="120"/>
              <w:rPr>
                <w:rFonts w:eastAsia="Calibri" w:cs="Times New Roman"/>
              </w:rPr>
            </w:pPr>
            <w:r w:rsidRPr="002F663C">
              <w:rPr>
                <w:rFonts w:eastAsia="Calibri" w:cs="Times New Roman"/>
              </w:rPr>
              <w:t>(French)</w:t>
            </w:r>
            <w:bookmarkEnd w:id="15"/>
          </w:p>
        </w:tc>
      </w:tr>
      <w:tr w:rsidR="00896702" w14:paraId="52CC69D8" w14:textId="77777777" w:rsidTr="00E9471B">
        <w:tc>
          <w:tcPr>
            <w:tcW w:w="851" w:type="dxa"/>
            <w:shd w:val="clear" w:color="auto" w:fill="auto"/>
          </w:tcPr>
          <w:p w14:paraId="6F7D3F96" w14:textId="77777777" w:rsidR="002F663C" w:rsidRPr="00711F9C" w:rsidRDefault="00ED6C87"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2FD595A" w14:textId="77777777" w:rsidR="002F663C" w:rsidRPr="002F663C" w:rsidRDefault="00ED6C8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C598EEA" w14:textId="77777777" w:rsidR="002F663C" w:rsidRPr="002F663C" w:rsidRDefault="00ED6C8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96702" w14:paraId="6DDE88A6" w14:textId="77777777" w:rsidTr="00E9471B">
        <w:tc>
          <w:tcPr>
            <w:tcW w:w="851" w:type="dxa"/>
            <w:shd w:val="clear" w:color="auto" w:fill="auto"/>
          </w:tcPr>
          <w:p w14:paraId="07055E36" w14:textId="77777777" w:rsidR="002F663C" w:rsidRPr="00711F9C" w:rsidRDefault="00ED6C87"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3FBEFD1" w14:textId="77777777" w:rsidR="002F663C" w:rsidRPr="002F663C" w:rsidRDefault="00ED6C8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32C1997" w14:textId="77777777" w:rsidR="002F663C" w:rsidRPr="002F663C" w:rsidRDefault="00ED6C8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96702" w14:paraId="6D79A704" w14:textId="77777777" w:rsidTr="00E9471B">
        <w:tc>
          <w:tcPr>
            <w:tcW w:w="851" w:type="dxa"/>
            <w:shd w:val="clear" w:color="auto" w:fill="auto"/>
          </w:tcPr>
          <w:p w14:paraId="0D2D3D7F" w14:textId="77777777" w:rsidR="002F663C" w:rsidRPr="00711F9C" w:rsidRDefault="00ED6C87"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B9CE7E9" w14:textId="77777777" w:rsidR="002F663C" w:rsidRPr="002F663C" w:rsidRDefault="00ED6C8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96702" w14:paraId="092E020F" w14:textId="77777777" w:rsidTr="00E9471B">
        <w:tc>
          <w:tcPr>
            <w:tcW w:w="851" w:type="dxa"/>
            <w:tcBorders>
              <w:bottom w:val="double" w:sz="4" w:space="0" w:color="auto"/>
            </w:tcBorders>
            <w:shd w:val="clear" w:color="auto" w:fill="auto"/>
          </w:tcPr>
          <w:p w14:paraId="6F092854" w14:textId="77777777" w:rsidR="002F663C" w:rsidRPr="00711F9C" w:rsidRDefault="00ED6C87"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D5D23AA" w14:textId="77777777" w:rsidR="002F663C" w:rsidRPr="002F663C" w:rsidRDefault="00ED6C8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511AFFF" w14:textId="77777777" w:rsidR="002F663C" w:rsidRPr="002F663C" w:rsidRDefault="002F663C" w:rsidP="002F663C">
      <w:pPr>
        <w:jc w:val="left"/>
        <w:rPr>
          <w:rFonts w:eastAsia="Calibri" w:cs="Times New Roman"/>
          <w:highlight w:val="yellow"/>
        </w:rPr>
      </w:pPr>
    </w:p>
    <w:p w14:paraId="5299AC77" w14:textId="77777777" w:rsidR="003971FF" w:rsidRPr="007F6EA2" w:rsidRDefault="00ED6C87" w:rsidP="00B16ACF">
      <w:pPr>
        <w:spacing w:after="120"/>
        <w:rPr>
          <w:rFonts w:eastAsia="Calibri" w:cs="Times New Roman"/>
          <w:bCs/>
          <w:highlight w:val="yellow"/>
        </w:rPr>
      </w:pPr>
      <w:r w:rsidRPr="002F663C">
        <w:rPr>
          <w:rFonts w:eastAsia="Calibri" w:cs="Times New Roman"/>
          <w:b/>
          <w:szCs w:val="18"/>
        </w:rPr>
        <w:lastRenderedPageBreak/>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proposed regulatory amendments notified in G/TBT/N/CAN/691 (dated February 20, 2023) were registered on April 12, 2024 and published in the </w:t>
      </w:r>
      <w:r w:rsidRPr="002F663C">
        <w:rPr>
          <w:rFonts w:eastAsia="Calibri" w:cs="Times New Roman"/>
          <w:i/>
          <w:iCs/>
          <w:szCs w:val="18"/>
        </w:rPr>
        <w:t>Canada Gazette, Part</w:t>
      </w:r>
      <w:r w:rsidRPr="002F663C">
        <w:rPr>
          <w:rFonts w:eastAsia="Calibri" w:cs="Times New Roman"/>
          <w:szCs w:val="18"/>
        </w:rPr>
        <w:t xml:space="preserve"> II on April 24, 2024 as the </w:t>
      </w:r>
      <w:r w:rsidRPr="002F663C">
        <w:rPr>
          <w:rFonts w:eastAsia="Calibri" w:cs="Times New Roman"/>
          <w:i/>
          <w:iCs/>
          <w:szCs w:val="18"/>
        </w:rPr>
        <w:t>Regulations Amending Certain Regulations Concerning the Disclosure of Cosmetic Ingredients</w:t>
      </w:r>
      <w:r w:rsidRPr="002F663C">
        <w:rPr>
          <w:rFonts w:eastAsia="Calibri" w:cs="Times New Roman"/>
          <w:szCs w:val="18"/>
        </w:rPr>
        <w:t xml:space="preserve"> (SOR/2024-63).</w:t>
      </w:r>
    </w:p>
    <w:p w14:paraId="6C7A4178" w14:textId="77777777" w:rsidR="00054B5B" w:rsidRPr="002F663C" w:rsidRDefault="00ED6C87" w:rsidP="00B16ACF">
      <w:pPr>
        <w:spacing w:before="120" w:after="120"/>
        <w:rPr>
          <w:rFonts w:eastAsia="Calibri" w:cs="Times New Roman"/>
          <w:szCs w:val="18"/>
        </w:rPr>
      </w:pPr>
      <w:r w:rsidRPr="002F663C">
        <w:rPr>
          <w:rFonts w:eastAsia="Calibri" w:cs="Times New Roman"/>
          <w:szCs w:val="18"/>
        </w:rPr>
        <w:t xml:space="preserve">The </w:t>
      </w:r>
      <w:r w:rsidRPr="002F663C">
        <w:rPr>
          <w:rFonts w:eastAsia="Calibri" w:cs="Times New Roman"/>
          <w:i/>
          <w:iCs/>
          <w:szCs w:val="18"/>
        </w:rPr>
        <w:t>Regulations Amending Certain Regulations Concerning the Disclosure of Cosmetic Ingredients</w:t>
      </w:r>
      <w:r w:rsidRPr="002F663C">
        <w:rPr>
          <w:rFonts w:eastAsia="Calibri" w:cs="Times New Roman"/>
          <w:szCs w:val="18"/>
        </w:rPr>
        <w:t xml:space="preserve"> (amended Regulations) address a number of matters related to the requirements for cosmetics under the </w:t>
      </w:r>
      <w:r w:rsidRPr="002F663C">
        <w:rPr>
          <w:rFonts w:eastAsia="Calibri" w:cs="Times New Roman"/>
          <w:i/>
          <w:iCs/>
          <w:szCs w:val="18"/>
        </w:rPr>
        <w:t>Food and Drugs Act</w:t>
      </w:r>
      <w:r w:rsidRPr="002F663C">
        <w:rPr>
          <w:rFonts w:eastAsia="Calibri" w:cs="Times New Roman"/>
          <w:szCs w:val="18"/>
        </w:rPr>
        <w:t xml:space="preserve"> and include consequential amendments to the </w:t>
      </w:r>
      <w:r w:rsidRPr="002F663C">
        <w:rPr>
          <w:rFonts w:eastAsia="Calibri" w:cs="Times New Roman"/>
          <w:i/>
          <w:iCs/>
          <w:szCs w:val="18"/>
        </w:rPr>
        <w:t>Cannabis Regulations</w:t>
      </w:r>
      <w:r w:rsidRPr="002F663C">
        <w:rPr>
          <w:rFonts w:eastAsia="Calibri" w:cs="Times New Roman"/>
          <w:szCs w:val="18"/>
        </w:rPr>
        <w:t xml:space="preserve"> under the </w:t>
      </w:r>
      <w:r w:rsidRPr="002F663C">
        <w:rPr>
          <w:rFonts w:eastAsia="Calibri" w:cs="Times New Roman"/>
          <w:i/>
          <w:iCs/>
          <w:szCs w:val="18"/>
        </w:rPr>
        <w:t>Cannabis Act</w:t>
      </w:r>
      <w:r w:rsidRPr="002F663C">
        <w:rPr>
          <w:rFonts w:eastAsia="Calibri" w:cs="Times New Roman"/>
          <w:szCs w:val="18"/>
        </w:rPr>
        <w:t>.</w:t>
      </w:r>
    </w:p>
    <w:p w14:paraId="292E9C8B" w14:textId="77777777" w:rsidR="00054B5B" w:rsidRPr="002F663C" w:rsidRDefault="00ED6C87" w:rsidP="00B16ACF">
      <w:pPr>
        <w:spacing w:before="120" w:after="120"/>
        <w:rPr>
          <w:rFonts w:eastAsia="Calibri" w:cs="Times New Roman"/>
          <w:szCs w:val="18"/>
        </w:rPr>
      </w:pPr>
      <w:r w:rsidRPr="002F663C">
        <w:rPr>
          <w:rFonts w:eastAsia="Calibri" w:cs="Times New Roman"/>
          <w:szCs w:val="18"/>
        </w:rPr>
        <w:t xml:space="preserve">The last significant amendments to the </w:t>
      </w:r>
      <w:r w:rsidRPr="002F663C">
        <w:rPr>
          <w:rFonts w:eastAsia="Calibri" w:cs="Times New Roman"/>
          <w:i/>
          <w:iCs/>
          <w:szCs w:val="18"/>
        </w:rPr>
        <w:t>Cosmetic Regulations</w:t>
      </w:r>
      <w:r w:rsidRPr="002F663C">
        <w:rPr>
          <w:rFonts w:eastAsia="Calibri" w:cs="Times New Roman"/>
          <w:szCs w:val="18"/>
        </w:rPr>
        <w:t xml:space="preserve"> came into force in 2006, when disclosure of ingredients on cosmetic labels became mandatory. The </w:t>
      </w:r>
      <w:r w:rsidRPr="002F663C">
        <w:rPr>
          <w:rFonts w:eastAsia="Calibri" w:cs="Times New Roman"/>
          <w:i/>
          <w:iCs/>
          <w:szCs w:val="18"/>
        </w:rPr>
        <w:t>Cosmetic Regulations</w:t>
      </w:r>
      <w:r w:rsidRPr="002F663C">
        <w:rPr>
          <w:rFonts w:eastAsia="Calibri" w:cs="Times New Roman"/>
          <w:szCs w:val="18"/>
        </w:rPr>
        <w:t xml:space="preserve"> permit the use of the term "parfum" at the end of the list of ingredients to indicate the presence of a fragrance ingredient, or a mixture of fragrance ingredients, in a cosmetic.</w:t>
      </w:r>
    </w:p>
    <w:p w14:paraId="7C385563" w14:textId="77777777" w:rsidR="00054B5B" w:rsidRPr="002F663C" w:rsidRDefault="00ED6C87" w:rsidP="00B16ACF">
      <w:pPr>
        <w:spacing w:before="120" w:after="120"/>
        <w:rPr>
          <w:rFonts w:eastAsia="Calibri" w:cs="Times New Roman"/>
          <w:szCs w:val="18"/>
        </w:rPr>
      </w:pPr>
      <w:r w:rsidRPr="002F663C">
        <w:rPr>
          <w:rFonts w:eastAsia="Calibri" w:cs="Times New Roman"/>
          <w:szCs w:val="18"/>
        </w:rPr>
        <w:t xml:space="preserve">The amended Regulations address this issue by strengthening the labelling requirements for cosmetics and requiring the disclosure of certain fragrance allergens on cosmetic labels, when present at a concentration greater than 0.01% in rinse-off products and 0.001% in leave-on products. The amended Regulations incorporate by reference, on an ambulatory basis, fragrance allergens listed in Annex III of the </w:t>
      </w:r>
      <w:r w:rsidRPr="002F663C">
        <w:rPr>
          <w:rFonts w:eastAsia="Calibri" w:cs="Times New Roman"/>
          <w:i/>
          <w:iCs/>
          <w:szCs w:val="18"/>
        </w:rPr>
        <w:t>European Commission's Cosmetic Products Regulation</w:t>
      </w:r>
      <w:r w:rsidRPr="002F663C">
        <w:rPr>
          <w:rFonts w:eastAsia="Calibri" w:cs="Times New Roman"/>
          <w:szCs w:val="18"/>
        </w:rPr>
        <w:t xml:space="preserve"> as well as the transition period set out in that Annex for future updates to substances identified for disclosure. This approach facilitates alignment with the European Union (EU).</w:t>
      </w:r>
    </w:p>
    <w:p w14:paraId="1830AF74" w14:textId="77777777" w:rsidR="00054B5B" w:rsidRPr="002F663C" w:rsidRDefault="00ED6C87" w:rsidP="00B16ACF">
      <w:pPr>
        <w:spacing w:before="120" w:after="120"/>
        <w:rPr>
          <w:rFonts w:eastAsia="Calibri" w:cs="Times New Roman"/>
          <w:szCs w:val="18"/>
        </w:rPr>
      </w:pPr>
      <w:r w:rsidRPr="002F663C">
        <w:rPr>
          <w:rFonts w:eastAsia="Calibri" w:cs="Times New Roman"/>
          <w:szCs w:val="18"/>
        </w:rPr>
        <w:t>The amended Regulations will also:</w:t>
      </w:r>
    </w:p>
    <w:p w14:paraId="1EC7AB9E" w14:textId="77777777" w:rsidR="00054B5B" w:rsidRPr="002F663C" w:rsidRDefault="00ED6C87" w:rsidP="00B16ACF">
      <w:pPr>
        <w:numPr>
          <w:ilvl w:val="0"/>
          <w:numId w:val="17"/>
        </w:numPr>
        <w:spacing w:before="120" w:after="120"/>
        <w:rPr>
          <w:rFonts w:eastAsia="Calibri" w:cs="Times New Roman"/>
          <w:szCs w:val="18"/>
        </w:rPr>
      </w:pPr>
      <w:r w:rsidRPr="002F663C">
        <w:rPr>
          <w:rFonts w:eastAsia="Calibri" w:cs="Times New Roman"/>
          <w:szCs w:val="18"/>
        </w:rPr>
        <w:t>introduce additional flexibility for the disclosure of ingredients of cosmetics sold in small packages;</w:t>
      </w:r>
    </w:p>
    <w:p w14:paraId="6D0F81E5" w14:textId="77777777" w:rsidR="00054B5B" w:rsidRPr="002F663C" w:rsidRDefault="00ED6C87" w:rsidP="00B16ACF">
      <w:pPr>
        <w:numPr>
          <w:ilvl w:val="0"/>
          <w:numId w:val="17"/>
        </w:numPr>
        <w:spacing w:before="120" w:after="120"/>
        <w:rPr>
          <w:rFonts w:eastAsia="Calibri" w:cs="Times New Roman"/>
          <w:szCs w:val="18"/>
        </w:rPr>
      </w:pPr>
      <w:r w:rsidRPr="002F663C">
        <w:rPr>
          <w:rFonts w:eastAsia="Calibri" w:cs="Times New Roman"/>
          <w:szCs w:val="18"/>
        </w:rPr>
        <w:t>improve regulatory oversight of cosmetics through clarifying terminology, strengthening cosmetic notification requirements, and enhancing compliance and enforcement tools; and</w:t>
      </w:r>
    </w:p>
    <w:p w14:paraId="06F7228F" w14:textId="77777777" w:rsidR="00054B5B" w:rsidRPr="002F663C" w:rsidRDefault="00ED6C87" w:rsidP="00B16ACF">
      <w:pPr>
        <w:numPr>
          <w:ilvl w:val="0"/>
          <w:numId w:val="17"/>
        </w:numPr>
        <w:spacing w:before="120" w:after="120"/>
        <w:rPr>
          <w:rFonts w:eastAsia="Calibri" w:cs="Times New Roman"/>
          <w:szCs w:val="18"/>
        </w:rPr>
      </w:pPr>
      <w:r w:rsidRPr="002F663C">
        <w:rPr>
          <w:rFonts w:eastAsia="Calibri" w:cs="Times New Roman"/>
          <w:szCs w:val="18"/>
        </w:rPr>
        <w:t>make changes of an administrative nature.</w:t>
      </w:r>
      <w:bookmarkEnd w:id="26"/>
    </w:p>
    <w:p w14:paraId="51F57EDF" w14:textId="77777777" w:rsidR="006C5A96" w:rsidRDefault="00ED6C87" w:rsidP="006C5A96">
      <w:pPr>
        <w:jc w:val="center"/>
        <w:rPr>
          <w:b/>
        </w:rPr>
      </w:pPr>
      <w:r w:rsidRPr="003971FF">
        <w:rPr>
          <w:b/>
        </w:rPr>
        <w:t>__________</w:t>
      </w:r>
    </w:p>
    <w:p w14:paraId="52111052" w14:textId="77777777" w:rsidR="004D4D19" w:rsidRDefault="004D4D19" w:rsidP="007F38C2">
      <w:pPr>
        <w:jc w:val="center"/>
        <w:rPr>
          <w:b/>
        </w:rPr>
      </w:pPr>
    </w:p>
    <w:p w14:paraId="73ABF56C"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556A" w14:textId="77777777" w:rsidR="00ED6C87" w:rsidRDefault="00ED6C87">
      <w:r>
        <w:separator/>
      </w:r>
    </w:p>
  </w:endnote>
  <w:endnote w:type="continuationSeparator" w:id="0">
    <w:p w14:paraId="3396F724" w14:textId="77777777" w:rsidR="00ED6C87" w:rsidRDefault="00ED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189C" w14:textId="77777777" w:rsidR="00544326" w:rsidRPr="00DD3DD7" w:rsidRDefault="00ED6C8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7837" w14:textId="77777777" w:rsidR="00544326" w:rsidRPr="00DD3DD7" w:rsidRDefault="00ED6C87"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A0CF" w14:textId="77777777" w:rsidR="000248E6" w:rsidRDefault="00ED6C87" w:rsidP="00ED54E0">
      <w:r>
        <w:separator/>
      </w:r>
    </w:p>
  </w:footnote>
  <w:footnote w:type="continuationSeparator" w:id="0">
    <w:p w14:paraId="16FD00C7" w14:textId="77777777" w:rsidR="000248E6" w:rsidRDefault="00ED6C87" w:rsidP="00ED54E0">
      <w:r>
        <w:continuationSeparator/>
      </w:r>
    </w:p>
  </w:footnote>
  <w:footnote w:id="1">
    <w:p w14:paraId="73E996B9" w14:textId="77777777" w:rsidR="007F6EA2" w:rsidRDefault="00ED6C8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2B0C" w14:textId="77777777" w:rsidR="00DD3DD7" w:rsidRDefault="00ED6C87"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8235370" w14:textId="77777777" w:rsidR="004D4D19" w:rsidRPr="00DD3DD7" w:rsidRDefault="004D4D19" w:rsidP="00DD3DD7">
    <w:pPr>
      <w:pStyle w:val="Header"/>
      <w:pBdr>
        <w:bottom w:val="single" w:sz="4" w:space="1" w:color="auto"/>
      </w:pBdr>
      <w:tabs>
        <w:tab w:val="clear" w:pos="4513"/>
        <w:tab w:val="clear" w:pos="9027"/>
      </w:tabs>
      <w:jc w:val="center"/>
    </w:pPr>
  </w:p>
  <w:p w14:paraId="3E44AEA1" w14:textId="77777777" w:rsidR="00DD3DD7" w:rsidRPr="00DD3DD7" w:rsidRDefault="00ED6C8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BEC202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2A99" w14:textId="77777777" w:rsidR="00DD3DD7" w:rsidRPr="00DD3DD7" w:rsidRDefault="00ED6C87" w:rsidP="00DD3DD7">
    <w:pPr>
      <w:pStyle w:val="Header"/>
      <w:pBdr>
        <w:bottom w:val="single" w:sz="4" w:space="1" w:color="auto"/>
      </w:pBdr>
      <w:tabs>
        <w:tab w:val="clear" w:pos="4513"/>
        <w:tab w:val="clear" w:pos="9027"/>
      </w:tabs>
      <w:jc w:val="center"/>
    </w:pPr>
    <w:bookmarkStart w:id="28" w:name="spsSymbolHeader"/>
    <w:r w:rsidRPr="00DD3DD7">
      <w:t>G/TBT/N/CAN/691/Add.1</w:t>
    </w:r>
    <w:bookmarkEnd w:id="28"/>
  </w:p>
  <w:p w14:paraId="7469E12F" w14:textId="77777777" w:rsidR="00DD3DD7" w:rsidRPr="00DD3DD7" w:rsidRDefault="00DD3DD7" w:rsidP="00DD3DD7">
    <w:pPr>
      <w:pStyle w:val="Header"/>
      <w:pBdr>
        <w:bottom w:val="single" w:sz="4" w:space="1" w:color="auto"/>
      </w:pBdr>
      <w:tabs>
        <w:tab w:val="clear" w:pos="4513"/>
        <w:tab w:val="clear" w:pos="9027"/>
      </w:tabs>
      <w:jc w:val="center"/>
    </w:pPr>
  </w:p>
  <w:p w14:paraId="1CF0AB5B" w14:textId="77777777" w:rsidR="00DD3DD7" w:rsidRPr="00DD3DD7" w:rsidRDefault="00ED6C8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7EA8F7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6702" w14:paraId="5E6F7799" w14:textId="77777777" w:rsidTr="00544326">
      <w:trPr>
        <w:trHeight w:val="240"/>
        <w:jc w:val="center"/>
      </w:trPr>
      <w:tc>
        <w:tcPr>
          <w:tcW w:w="3794" w:type="dxa"/>
          <w:shd w:val="clear" w:color="auto" w:fill="FFFFFF"/>
          <w:tcMar>
            <w:left w:w="108" w:type="dxa"/>
            <w:right w:w="108" w:type="dxa"/>
          </w:tcMar>
          <w:vAlign w:val="center"/>
        </w:tcPr>
        <w:p w14:paraId="5773680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16A19E1" w14:textId="77777777" w:rsidR="00ED54E0" w:rsidRPr="00182B84" w:rsidRDefault="00ED6C87" w:rsidP="00425DC5">
          <w:pPr>
            <w:jc w:val="right"/>
            <w:rPr>
              <w:b/>
              <w:color w:val="FF0000"/>
              <w:szCs w:val="16"/>
            </w:rPr>
          </w:pPr>
          <w:r>
            <w:rPr>
              <w:b/>
              <w:color w:val="FF0000"/>
              <w:szCs w:val="16"/>
            </w:rPr>
            <w:t xml:space="preserve"> </w:t>
          </w:r>
        </w:p>
      </w:tc>
    </w:tr>
    <w:tr w:rsidR="00896702" w14:paraId="124A79A6" w14:textId="77777777" w:rsidTr="00544326">
      <w:trPr>
        <w:trHeight w:val="213"/>
        <w:jc w:val="center"/>
      </w:trPr>
      <w:tc>
        <w:tcPr>
          <w:tcW w:w="3794" w:type="dxa"/>
          <w:vMerge w:val="restart"/>
          <w:shd w:val="clear" w:color="auto" w:fill="FFFFFF"/>
          <w:tcMar>
            <w:left w:w="0" w:type="dxa"/>
            <w:right w:w="0" w:type="dxa"/>
          </w:tcMar>
        </w:tcPr>
        <w:p w14:paraId="754BFE86" w14:textId="77777777" w:rsidR="00ED54E0" w:rsidRPr="00182B84" w:rsidRDefault="00ED6C87" w:rsidP="00425DC5">
          <w:pPr>
            <w:jc w:val="left"/>
          </w:pPr>
          <w:r w:rsidRPr="00182B84">
            <w:rPr>
              <w:noProof/>
              <w:lang w:val="en-US"/>
            </w:rPr>
            <w:drawing>
              <wp:inline distT="0" distB="0" distL="0" distR="0" wp14:anchorId="7A731D7E" wp14:editId="2D3F63E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16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704D17" w14:textId="77777777" w:rsidR="00ED54E0" w:rsidRPr="00182B84" w:rsidRDefault="00ED54E0" w:rsidP="00425DC5">
          <w:pPr>
            <w:jc w:val="right"/>
            <w:rPr>
              <w:b/>
              <w:szCs w:val="16"/>
            </w:rPr>
          </w:pPr>
        </w:p>
      </w:tc>
    </w:tr>
    <w:tr w:rsidR="00896702" w14:paraId="03272106" w14:textId="77777777" w:rsidTr="00544326">
      <w:trPr>
        <w:trHeight w:val="868"/>
        <w:jc w:val="center"/>
      </w:trPr>
      <w:tc>
        <w:tcPr>
          <w:tcW w:w="3794" w:type="dxa"/>
          <w:vMerge/>
          <w:shd w:val="clear" w:color="auto" w:fill="FFFFFF"/>
          <w:tcMar>
            <w:left w:w="108" w:type="dxa"/>
            <w:right w:w="108" w:type="dxa"/>
          </w:tcMar>
        </w:tcPr>
        <w:p w14:paraId="4E29866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A153678" w14:textId="77777777" w:rsidR="00DD3DD7" w:rsidRPr="002F663C" w:rsidRDefault="00ED6C87" w:rsidP="00DD3DD7">
          <w:pPr>
            <w:jc w:val="right"/>
            <w:rPr>
              <w:rFonts w:eastAsia="Calibri" w:cs="Times New Roman"/>
              <w:b/>
              <w:szCs w:val="16"/>
            </w:rPr>
          </w:pPr>
          <w:bookmarkStart w:id="29" w:name="bmkSymbols"/>
          <w:r w:rsidRPr="002F663C">
            <w:rPr>
              <w:rFonts w:eastAsia="Calibri" w:cs="Times New Roman"/>
              <w:b/>
              <w:szCs w:val="16"/>
            </w:rPr>
            <w:t>G/TBT/N/CAN/691/Add.1</w:t>
          </w:r>
          <w:bookmarkEnd w:id="29"/>
        </w:p>
        <w:p w14:paraId="0AD75D68" w14:textId="77777777" w:rsidR="00C14444" w:rsidRPr="00C14444" w:rsidRDefault="00C14444" w:rsidP="00C14444">
          <w:pPr>
            <w:jc w:val="center"/>
            <w:rPr>
              <w:szCs w:val="16"/>
            </w:rPr>
          </w:pPr>
        </w:p>
      </w:tc>
    </w:tr>
    <w:tr w:rsidR="00896702" w14:paraId="1A53F5D7" w14:textId="77777777" w:rsidTr="00544326">
      <w:trPr>
        <w:trHeight w:val="240"/>
        <w:jc w:val="center"/>
      </w:trPr>
      <w:tc>
        <w:tcPr>
          <w:tcW w:w="3794" w:type="dxa"/>
          <w:vMerge/>
          <w:shd w:val="clear" w:color="auto" w:fill="FFFFFF"/>
          <w:tcMar>
            <w:left w:w="108" w:type="dxa"/>
            <w:right w:w="108" w:type="dxa"/>
          </w:tcMar>
          <w:vAlign w:val="center"/>
        </w:tcPr>
        <w:p w14:paraId="0F2A862D" w14:textId="77777777" w:rsidR="00ED54E0" w:rsidRPr="00182B84" w:rsidRDefault="00ED54E0" w:rsidP="00425DC5"/>
      </w:tc>
      <w:tc>
        <w:tcPr>
          <w:tcW w:w="5448" w:type="dxa"/>
          <w:gridSpan w:val="2"/>
          <w:shd w:val="clear" w:color="auto" w:fill="FFFFFF"/>
          <w:tcMar>
            <w:left w:w="108" w:type="dxa"/>
            <w:right w:w="108" w:type="dxa"/>
          </w:tcMar>
          <w:vAlign w:val="center"/>
        </w:tcPr>
        <w:p w14:paraId="6D6A1928" w14:textId="5DFBC346" w:rsidR="00ED54E0" w:rsidRPr="00182B84" w:rsidRDefault="00ED6C87" w:rsidP="00425DC5">
          <w:pPr>
            <w:jc w:val="right"/>
            <w:rPr>
              <w:szCs w:val="16"/>
            </w:rPr>
          </w:pPr>
          <w:bookmarkStart w:id="30" w:name="bmkDate"/>
          <w:bookmarkEnd w:id="30"/>
          <w:r>
            <w:rPr>
              <w:szCs w:val="16"/>
            </w:rPr>
            <w:t>2 May 2024</w:t>
          </w:r>
        </w:p>
      </w:tc>
    </w:tr>
    <w:tr w:rsidR="00896702" w14:paraId="793F7D5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0AF892" w14:textId="333621B2" w:rsidR="00ED54E0" w:rsidRPr="00ED6C87" w:rsidRDefault="00ED6C87" w:rsidP="00425DC5">
          <w:pPr>
            <w:jc w:val="left"/>
            <w:rPr>
              <w:rFonts w:eastAsia="Calibri" w:cs="Times New Roman"/>
              <w:color w:val="FF0000"/>
              <w:szCs w:val="16"/>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85459F">
            <w:rPr>
              <w:rFonts w:eastAsia="Calibri" w:cs="Times New Roman"/>
              <w:color w:val="FF0000"/>
              <w:szCs w:val="16"/>
            </w:rPr>
            <w:t>3520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9EECD1C" w14:textId="77777777" w:rsidR="00ED54E0" w:rsidRPr="00182B84" w:rsidRDefault="00ED6C8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96702" w14:paraId="496637F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B962F5" w14:textId="77777777" w:rsidR="00ED54E0" w:rsidRPr="00182B84" w:rsidRDefault="00ED6C8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A160262" w14:textId="77777777" w:rsidR="00ED54E0" w:rsidRPr="00182B84" w:rsidRDefault="00ED6C87"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 French</w:t>
          </w:r>
          <w:bookmarkEnd w:id="32"/>
        </w:p>
      </w:tc>
    </w:tr>
  </w:tbl>
  <w:p w14:paraId="717E4B8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D63918">
      <w:start w:val="1"/>
      <w:numFmt w:val="decimal"/>
      <w:pStyle w:val="SummaryText"/>
      <w:lvlText w:val="%1."/>
      <w:lvlJc w:val="left"/>
      <w:pPr>
        <w:ind w:left="360" w:hanging="360"/>
      </w:pPr>
    </w:lvl>
    <w:lvl w:ilvl="1" w:tplc="C81AFFE4" w:tentative="1">
      <w:start w:val="1"/>
      <w:numFmt w:val="lowerLetter"/>
      <w:lvlText w:val="%2."/>
      <w:lvlJc w:val="left"/>
      <w:pPr>
        <w:ind w:left="1080" w:hanging="360"/>
      </w:pPr>
    </w:lvl>
    <w:lvl w:ilvl="2" w:tplc="7B505282" w:tentative="1">
      <w:start w:val="1"/>
      <w:numFmt w:val="lowerRoman"/>
      <w:lvlText w:val="%3."/>
      <w:lvlJc w:val="right"/>
      <w:pPr>
        <w:ind w:left="1800" w:hanging="180"/>
      </w:pPr>
    </w:lvl>
    <w:lvl w:ilvl="3" w:tplc="9A203580" w:tentative="1">
      <w:start w:val="1"/>
      <w:numFmt w:val="decimal"/>
      <w:lvlText w:val="%4."/>
      <w:lvlJc w:val="left"/>
      <w:pPr>
        <w:ind w:left="2520" w:hanging="360"/>
      </w:pPr>
    </w:lvl>
    <w:lvl w:ilvl="4" w:tplc="D64A4D30" w:tentative="1">
      <w:start w:val="1"/>
      <w:numFmt w:val="lowerLetter"/>
      <w:lvlText w:val="%5."/>
      <w:lvlJc w:val="left"/>
      <w:pPr>
        <w:ind w:left="3240" w:hanging="360"/>
      </w:pPr>
    </w:lvl>
    <w:lvl w:ilvl="5" w:tplc="A16AFAD2" w:tentative="1">
      <w:start w:val="1"/>
      <w:numFmt w:val="lowerRoman"/>
      <w:lvlText w:val="%6."/>
      <w:lvlJc w:val="right"/>
      <w:pPr>
        <w:ind w:left="3960" w:hanging="180"/>
      </w:pPr>
    </w:lvl>
    <w:lvl w:ilvl="6" w:tplc="ED64AC96" w:tentative="1">
      <w:start w:val="1"/>
      <w:numFmt w:val="decimal"/>
      <w:lvlText w:val="%7."/>
      <w:lvlJc w:val="left"/>
      <w:pPr>
        <w:ind w:left="4680" w:hanging="360"/>
      </w:pPr>
    </w:lvl>
    <w:lvl w:ilvl="7" w:tplc="6D1AE908" w:tentative="1">
      <w:start w:val="1"/>
      <w:numFmt w:val="lowerLetter"/>
      <w:lvlText w:val="%8."/>
      <w:lvlJc w:val="left"/>
      <w:pPr>
        <w:ind w:left="5400" w:hanging="360"/>
      </w:pPr>
    </w:lvl>
    <w:lvl w:ilvl="8" w:tplc="788C1DB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1843BB2">
      <w:start w:val="1"/>
      <w:numFmt w:val="bullet"/>
      <w:lvlText w:val=""/>
      <w:lvlJc w:val="left"/>
      <w:pPr>
        <w:ind w:left="720" w:hanging="360"/>
      </w:pPr>
      <w:rPr>
        <w:rFonts w:ascii="Symbol" w:hAnsi="Symbol"/>
      </w:rPr>
    </w:lvl>
    <w:lvl w:ilvl="1" w:tplc="65CA6152">
      <w:start w:val="1"/>
      <w:numFmt w:val="bullet"/>
      <w:lvlText w:val="o"/>
      <w:lvlJc w:val="left"/>
      <w:pPr>
        <w:tabs>
          <w:tab w:val="num" w:pos="1440"/>
        </w:tabs>
        <w:ind w:left="1440" w:hanging="360"/>
      </w:pPr>
      <w:rPr>
        <w:rFonts w:ascii="Courier New" w:hAnsi="Courier New"/>
      </w:rPr>
    </w:lvl>
    <w:lvl w:ilvl="2" w:tplc="E8DCF9C4">
      <w:start w:val="1"/>
      <w:numFmt w:val="bullet"/>
      <w:lvlText w:val=""/>
      <w:lvlJc w:val="left"/>
      <w:pPr>
        <w:tabs>
          <w:tab w:val="num" w:pos="2160"/>
        </w:tabs>
        <w:ind w:left="2160" w:hanging="360"/>
      </w:pPr>
      <w:rPr>
        <w:rFonts w:ascii="Wingdings" w:hAnsi="Wingdings"/>
      </w:rPr>
    </w:lvl>
    <w:lvl w:ilvl="3" w:tplc="739A3A1E">
      <w:start w:val="1"/>
      <w:numFmt w:val="bullet"/>
      <w:lvlText w:val=""/>
      <w:lvlJc w:val="left"/>
      <w:pPr>
        <w:tabs>
          <w:tab w:val="num" w:pos="2880"/>
        </w:tabs>
        <w:ind w:left="2880" w:hanging="360"/>
      </w:pPr>
      <w:rPr>
        <w:rFonts w:ascii="Symbol" w:hAnsi="Symbol"/>
      </w:rPr>
    </w:lvl>
    <w:lvl w:ilvl="4" w:tplc="11C0325C">
      <w:start w:val="1"/>
      <w:numFmt w:val="bullet"/>
      <w:lvlText w:val="o"/>
      <w:lvlJc w:val="left"/>
      <w:pPr>
        <w:tabs>
          <w:tab w:val="num" w:pos="3600"/>
        </w:tabs>
        <w:ind w:left="3600" w:hanging="360"/>
      </w:pPr>
      <w:rPr>
        <w:rFonts w:ascii="Courier New" w:hAnsi="Courier New"/>
      </w:rPr>
    </w:lvl>
    <w:lvl w:ilvl="5" w:tplc="4C1AF4D0">
      <w:start w:val="1"/>
      <w:numFmt w:val="bullet"/>
      <w:lvlText w:val=""/>
      <w:lvlJc w:val="left"/>
      <w:pPr>
        <w:tabs>
          <w:tab w:val="num" w:pos="4320"/>
        </w:tabs>
        <w:ind w:left="4320" w:hanging="360"/>
      </w:pPr>
      <w:rPr>
        <w:rFonts w:ascii="Wingdings" w:hAnsi="Wingdings"/>
      </w:rPr>
    </w:lvl>
    <w:lvl w:ilvl="6" w:tplc="5A62CD88">
      <w:start w:val="1"/>
      <w:numFmt w:val="bullet"/>
      <w:lvlText w:val=""/>
      <w:lvlJc w:val="left"/>
      <w:pPr>
        <w:tabs>
          <w:tab w:val="num" w:pos="5040"/>
        </w:tabs>
        <w:ind w:left="5040" w:hanging="360"/>
      </w:pPr>
      <w:rPr>
        <w:rFonts w:ascii="Symbol" w:hAnsi="Symbol"/>
      </w:rPr>
    </w:lvl>
    <w:lvl w:ilvl="7" w:tplc="8A009354">
      <w:start w:val="1"/>
      <w:numFmt w:val="bullet"/>
      <w:lvlText w:val="o"/>
      <w:lvlJc w:val="left"/>
      <w:pPr>
        <w:tabs>
          <w:tab w:val="num" w:pos="5760"/>
        </w:tabs>
        <w:ind w:left="5760" w:hanging="360"/>
      </w:pPr>
      <w:rPr>
        <w:rFonts w:ascii="Courier New" w:hAnsi="Courier New"/>
      </w:rPr>
    </w:lvl>
    <w:lvl w:ilvl="8" w:tplc="7CAC5162">
      <w:start w:val="1"/>
      <w:numFmt w:val="bullet"/>
      <w:lvlText w:val=""/>
      <w:lvlJc w:val="left"/>
      <w:pPr>
        <w:tabs>
          <w:tab w:val="num" w:pos="6480"/>
        </w:tabs>
        <w:ind w:left="6480" w:hanging="360"/>
      </w:pPr>
      <w:rPr>
        <w:rFonts w:ascii="Wingdings" w:hAnsi="Wingdings"/>
      </w:rPr>
    </w:lvl>
  </w:abstractNum>
  <w:num w:numId="1" w16cid:durableId="310409296">
    <w:abstractNumId w:val="9"/>
  </w:num>
  <w:num w:numId="2" w16cid:durableId="1537084894">
    <w:abstractNumId w:val="7"/>
  </w:num>
  <w:num w:numId="3" w16cid:durableId="134297793">
    <w:abstractNumId w:val="6"/>
  </w:num>
  <w:num w:numId="4" w16cid:durableId="1543591395">
    <w:abstractNumId w:val="5"/>
  </w:num>
  <w:num w:numId="5" w16cid:durableId="2046516605">
    <w:abstractNumId w:val="4"/>
  </w:num>
  <w:num w:numId="6" w16cid:durableId="1235704949">
    <w:abstractNumId w:val="12"/>
  </w:num>
  <w:num w:numId="7" w16cid:durableId="1405447464">
    <w:abstractNumId w:val="11"/>
  </w:num>
  <w:num w:numId="8" w16cid:durableId="1115295206">
    <w:abstractNumId w:val="10"/>
  </w:num>
  <w:num w:numId="9" w16cid:durableId="17893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4455647">
    <w:abstractNumId w:val="13"/>
  </w:num>
  <w:num w:numId="11" w16cid:durableId="63067920">
    <w:abstractNumId w:val="8"/>
  </w:num>
  <w:num w:numId="12" w16cid:durableId="1322198353">
    <w:abstractNumId w:val="3"/>
  </w:num>
  <w:num w:numId="13" w16cid:durableId="366685716">
    <w:abstractNumId w:val="2"/>
  </w:num>
  <w:num w:numId="14" w16cid:durableId="1134760000">
    <w:abstractNumId w:val="1"/>
  </w:num>
  <w:num w:numId="15" w16cid:durableId="439687792">
    <w:abstractNumId w:val="0"/>
  </w:num>
  <w:num w:numId="16" w16cid:durableId="207284549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1559516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54B5B"/>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5459F"/>
    <w:rsid w:val="008739FD"/>
    <w:rsid w:val="00893E85"/>
    <w:rsid w:val="00896702"/>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B7A11"/>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D6C87"/>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2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anadagazette.gc.ca/rp-pr/p2/2024/2024-04-24/html/sor-dors63-fra.html" TargetMode="External"/><Relationship Id="rId4" Type="http://schemas.openxmlformats.org/officeDocument/2006/relationships/styles" Target="styles.xml"/><Relationship Id="rId9" Type="http://schemas.openxmlformats.org/officeDocument/2006/relationships/hyperlink" Target="https://canadagazette.gc.ca/rp-pr/p2/2024/2024-04-24/html/sor-dors63-eng.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1E2D3-964B-4C56-9026-3EEF40454C42}">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2024-05-02T10:16:00Z</dcterms:created>
  <dcterms:modified xsi:type="dcterms:W3CDTF">2024-05-02T10:46:00Z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