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DB6B" w14:textId="77777777" w:rsidR="009239F7" w:rsidRPr="002F6A28" w:rsidRDefault="00DA7D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DC8890" w14:textId="77777777" w:rsidR="009239F7" w:rsidRPr="002F6A28" w:rsidRDefault="00DA7D5D" w:rsidP="002F6A28">
      <w:pPr>
        <w:jc w:val="center"/>
      </w:pPr>
      <w:r w:rsidRPr="002F6A28">
        <w:t>The following notification is being circulated in accordance with Article 10.6</w:t>
      </w:r>
    </w:p>
    <w:p w14:paraId="746FDD5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139E5" w14:paraId="080983C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8B5B6E" w14:textId="77777777" w:rsidR="00F85C99" w:rsidRPr="002F6A28" w:rsidRDefault="00DA7D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3F3226" w14:textId="77777777" w:rsidR="00F85C99" w:rsidRPr="002F6A28" w:rsidRDefault="00DA7D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0E73B593" w14:textId="77777777" w:rsidR="00F85C99" w:rsidRPr="002F6A28" w:rsidRDefault="00DA7D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139E5" w14:paraId="3C08C7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00AD4" w14:textId="77777777" w:rsidR="00F85C99" w:rsidRPr="002F6A28" w:rsidRDefault="00DA7D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C5C0E" w14:textId="77777777" w:rsidR="00F85C99" w:rsidRPr="002F6A28" w:rsidRDefault="00DA7D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7E4546F" w14:textId="77777777" w:rsidR="00EE3A11" w:rsidRPr="00C379C8" w:rsidRDefault="00DA7D5D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3D880DE0" w14:textId="77777777" w:rsidR="00F85C99" w:rsidRPr="002F6A28" w:rsidRDefault="00DA7D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7892544" w14:textId="77777777" w:rsidR="00AC6C6E" w:rsidRPr="00C379C8" w:rsidRDefault="00DA7D5D" w:rsidP="00AA646C">
            <w:r w:rsidRPr="00C379C8">
              <w:t>Israel WTO-TBT Enquiry Point</w:t>
            </w:r>
          </w:p>
          <w:p w14:paraId="536761D7" w14:textId="77777777" w:rsidR="00AC6C6E" w:rsidRPr="00C379C8" w:rsidRDefault="00DA7D5D" w:rsidP="00AA646C">
            <w:r w:rsidRPr="00C379C8">
              <w:t>Ministry of Economy and Industry</w:t>
            </w:r>
          </w:p>
          <w:p w14:paraId="40216187" w14:textId="77777777" w:rsidR="00AC6C6E" w:rsidRPr="00C379C8" w:rsidRDefault="00DA7D5D" w:rsidP="00AA646C">
            <w:r w:rsidRPr="00C379C8">
              <w:t>Tel.: + 972-74-750-2236</w:t>
            </w:r>
          </w:p>
          <w:p w14:paraId="5BA74B83" w14:textId="77777777" w:rsidR="00AC6C6E" w:rsidRPr="00C379C8" w:rsidRDefault="00DA7D5D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r w:rsidRPr="00C379C8">
              <w:t xml:space="preserve"> ;</w:t>
            </w:r>
            <w:bookmarkEnd w:id="7"/>
          </w:p>
        </w:tc>
      </w:tr>
      <w:tr w:rsidR="002139E5" w14:paraId="6FB893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4889D" w14:textId="77777777" w:rsidR="00F85C99" w:rsidRPr="002F6A28" w:rsidRDefault="00DA7D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9C3C7" w14:textId="77777777" w:rsidR="00F85C99" w:rsidRPr="0058336F" w:rsidRDefault="00DA7D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139E5" w14:paraId="37BD18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C8430" w14:textId="77777777" w:rsidR="00F85C99" w:rsidRPr="002F6A28" w:rsidRDefault="00DA7D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7DA43" w14:textId="77777777" w:rsidR="00F85C99" w:rsidRPr="002F6A28" w:rsidRDefault="00DA7D5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Mobile elevating work platforms</w:t>
            </w:r>
            <w:bookmarkEnd w:id="22"/>
          </w:p>
        </w:tc>
      </w:tr>
      <w:tr w:rsidR="002139E5" w14:paraId="75C1B0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C10A1" w14:textId="77777777" w:rsidR="00F85C99" w:rsidRPr="002F6A28" w:rsidRDefault="00DA7D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6EBD3" w14:textId="77777777" w:rsidR="00F85C99" w:rsidRPr="002F6A28" w:rsidRDefault="00DA7D5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5697 part 2 - Mobile elevating work platforms: Vehicle-mounted elevating and rotating insulating aerial devices used for live working; (7 page(s), in Hebrew), (88 page(s), in English)</w:t>
            </w:r>
            <w:bookmarkEnd w:id="24"/>
          </w:p>
        </w:tc>
      </w:tr>
      <w:tr w:rsidR="002139E5" w14:paraId="5A4C02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E11B2" w14:textId="77777777" w:rsidR="00F85C99" w:rsidRPr="002F6A28" w:rsidRDefault="00DA7D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9ADCF" w14:textId="77777777" w:rsidR="00F85C99" w:rsidRPr="002F6A28" w:rsidRDefault="00DA7D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Revision of the Mandatory Standard SI 5697 part 2 dealing with safety features of mobile elevating work platforms (MEWP). This proposed standard revision adopts the American Standard ANSI/SAIA A92.2 - 2021, with a few national changes that appear in the standard's Hebrew section.</w:t>
            </w:r>
          </w:p>
          <w:p w14:paraId="652DB75D" w14:textId="77777777" w:rsidR="00FE448B" w:rsidRPr="00C379C8" w:rsidRDefault="00DA7D5D" w:rsidP="002F6A28">
            <w:pPr>
              <w:spacing w:before="120" w:after="120"/>
            </w:pPr>
            <w:r w:rsidRPr="00C379C8">
              <w:t>The major differences between the old standard and this new proposal are as follows:</w:t>
            </w:r>
          </w:p>
          <w:p w14:paraId="25E04A78" w14:textId="77777777" w:rsidR="00FE448B" w:rsidRPr="00C379C8" w:rsidRDefault="00DA7D5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Adopts the new edition of the American Standard and removes the alternative European route of </w:t>
            </w:r>
            <w:proofErr w:type="gramStart"/>
            <w:r w:rsidRPr="00C379C8">
              <w:t>compliance;</w:t>
            </w:r>
            <w:proofErr w:type="gramEnd"/>
          </w:p>
          <w:p w14:paraId="2895B5B6" w14:textId="77777777" w:rsidR="00FE448B" w:rsidRPr="00C379C8" w:rsidRDefault="00DA7D5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Deletes from the national deviations the requirements for the load sensing and for the moment sensing </w:t>
            </w:r>
            <w:proofErr w:type="gramStart"/>
            <w:r w:rsidRPr="00C379C8">
              <w:t>systems;</w:t>
            </w:r>
            <w:proofErr w:type="gramEnd"/>
          </w:p>
          <w:p w14:paraId="1268D1F9" w14:textId="77777777" w:rsidR="00FE448B" w:rsidRPr="00C379C8" w:rsidRDefault="00DA7D5D" w:rsidP="002F6A28">
            <w:pPr>
              <w:spacing w:before="120" w:after="120"/>
            </w:pPr>
            <w:r w:rsidRPr="00C379C8">
              <w:t>Both the old and proposed standards will apply for three years from the entry into force. During this time, products may comply with either.</w:t>
            </w:r>
            <w:bookmarkEnd w:id="26"/>
          </w:p>
        </w:tc>
      </w:tr>
      <w:tr w:rsidR="002139E5" w14:paraId="3DEE47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A541B" w14:textId="77777777" w:rsidR="00F85C99" w:rsidRPr="002F6A28" w:rsidRDefault="00DA7D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95FD4" w14:textId="77777777" w:rsidR="00F85C99" w:rsidRPr="002F6A28" w:rsidRDefault="00DA7D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2139E5" w14:paraId="3FA290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9DE9B" w14:textId="77777777" w:rsidR="00F85C99" w:rsidRPr="002F6A28" w:rsidRDefault="00DA7D5D" w:rsidP="00DA7D5D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DD127" w14:textId="77777777" w:rsidR="00086AF5" w:rsidRPr="00086AF5" w:rsidRDefault="00DA7D5D" w:rsidP="00DA7D5D">
            <w:pPr>
              <w:keepNext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B7D8DED" w14:textId="77777777" w:rsidR="00EE3A11" w:rsidRPr="002F6A28" w:rsidRDefault="00DA7D5D" w:rsidP="00DA7D5D">
            <w:pPr>
              <w:keepNext/>
              <w:numPr>
                <w:ilvl w:val="0"/>
                <w:numId w:val="17"/>
              </w:numPr>
              <w:spacing w:before="120" w:after="120"/>
            </w:pPr>
            <w:r w:rsidRPr="002F6A28">
              <w:t>Israel Mandatory Standard SI 5697 part 1 (August 2019</w:t>
            </w:r>
            <w:proofErr w:type="gramStart"/>
            <w:r w:rsidRPr="002F6A28">
              <w:t>);</w:t>
            </w:r>
            <w:proofErr w:type="gramEnd"/>
          </w:p>
          <w:p w14:paraId="5ABA7EE2" w14:textId="77777777" w:rsidR="00EE3A11" w:rsidRPr="002F6A28" w:rsidRDefault="00DA7D5D" w:rsidP="00DA7D5D">
            <w:pPr>
              <w:keepNext/>
              <w:numPr>
                <w:ilvl w:val="0"/>
                <w:numId w:val="17"/>
              </w:numPr>
              <w:spacing w:before="120" w:after="120"/>
            </w:pPr>
            <w:r w:rsidRPr="002F6A28">
              <w:t>American Standard ANSI/SAIA A92.2-2021.</w:t>
            </w:r>
            <w:bookmarkEnd w:id="30"/>
          </w:p>
        </w:tc>
      </w:tr>
      <w:tr w:rsidR="002139E5" w14:paraId="21D80C3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97868" w14:textId="77777777" w:rsidR="00EE3A11" w:rsidRPr="002F6A28" w:rsidRDefault="00DA7D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D1D33" w14:textId="77777777" w:rsidR="00EE3A11" w:rsidRPr="002F6A28" w:rsidRDefault="00DA7D5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4BB60B30" w14:textId="77777777" w:rsidR="00EE3A11" w:rsidRPr="002F6A28" w:rsidRDefault="00DA7D5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Both the old and proposed standards will apply for three years from the entry into force. During this time, products may comply with either.</w:t>
            </w:r>
            <w:bookmarkEnd w:id="36"/>
          </w:p>
        </w:tc>
      </w:tr>
      <w:tr w:rsidR="002139E5" w14:paraId="69B20C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9D419" w14:textId="77777777" w:rsidR="00F85C99" w:rsidRPr="002F6A28" w:rsidRDefault="00DA7D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ACAC7" w14:textId="77777777" w:rsidR="00F85C99" w:rsidRPr="002F6A28" w:rsidRDefault="00DA7D5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</w:t>
            </w:r>
            <w:bookmarkEnd w:id="38"/>
          </w:p>
        </w:tc>
      </w:tr>
      <w:tr w:rsidR="002139E5" w14:paraId="749035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E900320" w14:textId="77777777" w:rsidR="00F85C99" w:rsidRPr="002F6A28" w:rsidRDefault="00DA7D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5D4D232" w14:textId="77777777" w:rsidR="00F85C99" w:rsidRPr="002F6A28" w:rsidRDefault="00DA7D5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0908D78" w14:textId="77777777" w:rsidR="00EE3A11" w:rsidRPr="00A12DDE" w:rsidRDefault="00162345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DA7D5D" w:rsidRPr="00A12DDE">
                <w:rPr>
                  <w:bCs/>
                  <w:color w:val="0000FF"/>
                  <w:u w:val="single"/>
                </w:rPr>
                <w:t>https://members.wto.org/crnattachments/2024/TBT/ISR/24_02437_00_x.pdf</w:t>
              </w:r>
            </w:hyperlink>
            <w:bookmarkEnd w:id="42"/>
          </w:p>
        </w:tc>
      </w:tr>
    </w:tbl>
    <w:p w14:paraId="5B60269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373F" w14:textId="77777777" w:rsidR="00DA7D5D" w:rsidRDefault="00DA7D5D">
      <w:r>
        <w:separator/>
      </w:r>
    </w:p>
  </w:endnote>
  <w:endnote w:type="continuationSeparator" w:id="0">
    <w:p w14:paraId="160FF0DC" w14:textId="77777777" w:rsidR="00DA7D5D" w:rsidRDefault="00DA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C709" w14:textId="77777777" w:rsidR="009239F7" w:rsidRPr="002F6A28" w:rsidRDefault="00DA7D5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ABD7" w14:textId="77777777" w:rsidR="009239F7" w:rsidRPr="002F6A28" w:rsidRDefault="00DA7D5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E7C1" w14:textId="77777777" w:rsidR="00EE3A11" w:rsidRPr="002F6A28" w:rsidRDefault="00DA7D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5547" w14:textId="77777777" w:rsidR="00DA7D5D" w:rsidRDefault="00DA7D5D">
      <w:r>
        <w:separator/>
      </w:r>
    </w:p>
  </w:footnote>
  <w:footnote w:type="continuationSeparator" w:id="0">
    <w:p w14:paraId="6B2F504C" w14:textId="77777777" w:rsidR="00DA7D5D" w:rsidRDefault="00DA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8151" w14:textId="77777777" w:rsidR="009239F7" w:rsidRPr="002F6A28" w:rsidRDefault="00DA7D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50500E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0171A4" w14:textId="77777777" w:rsidR="009239F7" w:rsidRPr="002F6A28" w:rsidRDefault="00DA7D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718F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CA66" w14:textId="77777777" w:rsidR="009239F7" w:rsidRPr="002F6A28" w:rsidRDefault="00DA7D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G/TBT/N/ISR/1340</w:t>
    </w:r>
    <w:bookmarkEnd w:id="43"/>
  </w:p>
  <w:p w14:paraId="561372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0C9753" w14:textId="77777777" w:rsidR="009239F7" w:rsidRPr="002F6A28" w:rsidRDefault="00DA7D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16231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39E5" w14:paraId="5D69E7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A413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3B52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139E5" w14:paraId="6C886D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D83CD1" w14:textId="77777777" w:rsidR="00ED54E0" w:rsidRPr="009239F7" w:rsidRDefault="00DA7D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34FD93" wp14:editId="59F0B80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242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1F6D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139E5" w14:paraId="52C50CF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DAD33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62FD1" w14:textId="77777777" w:rsidR="009239F7" w:rsidRPr="002F6A28" w:rsidRDefault="00DA7D5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G/TBT/N/ISR/1340</w:t>
          </w:r>
          <w:bookmarkEnd w:id="45"/>
        </w:p>
      </w:tc>
    </w:tr>
    <w:tr w:rsidR="002139E5" w14:paraId="67603E9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E2CE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C777A" w14:textId="45ECF97D" w:rsidR="00ED54E0" w:rsidRPr="009239F7" w:rsidRDefault="00AB266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2024</w:t>
          </w:r>
        </w:p>
      </w:tc>
    </w:tr>
    <w:tr w:rsidR="002139E5" w14:paraId="170242C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DF454" w14:textId="12268A3F" w:rsidR="00ED54E0" w:rsidRPr="009239F7" w:rsidRDefault="00DA7D5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B2667">
            <w:rPr>
              <w:color w:val="FF0000"/>
              <w:szCs w:val="16"/>
            </w:rPr>
            <w:t>24-</w:t>
          </w:r>
          <w:r w:rsidR="00162345">
            <w:rPr>
              <w:color w:val="FF0000"/>
              <w:szCs w:val="16"/>
            </w:rPr>
            <w:t>2893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A333AD" w14:textId="77777777" w:rsidR="00ED54E0" w:rsidRPr="009239F7" w:rsidRDefault="00DA7D5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139E5" w14:paraId="7C74826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C77D7E" w14:textId="77777777" w:rsidR="00ED54E0" w:rsidRPr="009239F7" w:rsidRDefault="00DA7D5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61807" w14:textId="77777777" w:rsidR="00ED54E0" w:rsidRPr="002F6A28" w:rsidRDefault="00DA7D5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CBCB78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6043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32EA16" w:tentative="1">
      <w:start w:val="1"/>
      <w:numFmt w:val="lowerLetter"/>
      <w:lvlText w:val="%2."/>
      <w:lvlJc w:val="left"/>
      <w:pPr>
        <w:ind w:left="1080" w:hanging="360"/>
      </w:pPr>
    </w:lvl>
    <w:lvl w:ilvl="2" w:tplc="ED54579A" w:tentative="1">
      <w:start w:val="1"/>
      <w:numFmt w:val="lowerRoman"/>
      <w:lvlText w:val="%3."/>
      <w:lvlJc w:val="right"/>
      <w:pPr>
        <w:ind w:left="1800" w:hanging="180"/>
      </w:pPr>
    </w:lvl>
    <w:lvl w:ilvl="3" w:tplc="297CC74E" w:tentative="1">
      <w:start w:val="1"/>
      <w:numFmt w:val="decimal"/>
      <w:lvlText w:val="%4."/>
      <w:lvlJc w:val="left"/>
      <w:pPr>
        <w:ind w:left="2520" w:hanging="360"/>
      </w:pPr>
    </w:lvl>
    <w:lvl w:ilvl="4" w:tplc="9AC288B4" w:tentative="1">
      <w:start w:val="1"/>
      <w:numFmt w:val="lowerLetter"/>
      <w:lvlText w:val="%5."/>
      <w:lvlJc w:val="left"/>
      <w:pPr>
        <w:ind w:left="3240" w:hanging="360"/>
      </w:pPr>
    </w:lvl>
    <w:lvl w:ilvl="5" w:tplc="07B04838" w:tentative="1">
      <w:start w:val="1"/>
      <w:numFmt w:val="lowerRoman"/>
      <w:lvlText w:val="%6."/>
      <w:lvlJc w:val="right"/>
      <w:pPr>
        <w:ind w:left="3960" w:hanging="180"/>
      </w:pPr>
    </w:lvl>
    <w:lvl w:ilvl="6" w:tplc="1F7AFD24" w:tentative="1">
      <w:start w:val="1"/>
      <w:numFmt w:val="decimal"/>
      <w:lvlText w:val="%7."/>
      <w:lvlJc w:val="left"/>
      <w:pPr>
        <w:ind w:left="4680" w:hanging="360"/>
      </w:pPr>
    </w:lvl>
    <w:lvl w:ilvl="7" w:tplc="ED0EE47E" w:tentative="1">
      <w:start w:val="1"/>
      <w:numFmt w:val="lowerLetter"/>
      <w:lvlText w:val="%8."/>
      <w:lvlJc w:val="left"/>
      <w:pPr>
        <w:ind w:left="5400" w:hanging="360"/>
      </w:pPr>
    </w:lvl>
    <w:lvl w:ilvl="8" w:tplc="3CDC45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8B63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125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8C6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D21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67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16E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B0B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66F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246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488CB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08E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CCC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E6D5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2C2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684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1EB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628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667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8127126">
    <w:abstractNumId w:val="9"/>
  </w:num>
  <w:num w:numId="2" w16cid:durableId="1489783062">
    <w:abstractNumId w:val="7"/>
  </w:num>
  <w:num w:numId="3" w16cid:durableId="660814678">
    <w:abstractNumId w:val="6"/>
  </w:num>
  <w:num w:numId="4" w16cid:durableId="45491369">
    <w:abstractNumId w:val="5"/>
  </w:num>
  <w:num w:numId="5" w16cid:durableId="96340883">
    <w:abstractNumId w:val="4"/>
  </w:num>
  <w:num w:numId="6" w16cid:durableId="1727072578">
    <w:abstractNumId w:val="12"/>
  </w:num>
  <w:num w:numId="7" w16cid:durableId="981734004">
    <w:abstractNumId w:val="11"/>
  </w:num>
  <w:num w:numId="8" w16cid:durableId="2088064592">
    <w:abstractNumId w:val="10"/>
  </w:num>
  <w:num w:numId="9" w16cid:durableId="192114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74151">
    <w:abstractNumId w:val="13"/>
  </w:num>
  <w:num w:numId="11" w16cid:durableId="327638630">
    <w:abstractNumId w:val="8"/>
  </w:num>
  <w:num w:numId="12" w16cid:durableId="2116710094">
    <w:abstractNumId w:val="3"/>
  </w:num>
  <w:num w:numId="13" w16cid:durableId="84545928">
    <w:abstractNumId w:val="2"/>
  </w:num>
  <w:num w:numId="14" w16cid:durableId="1585799782">
    <w:abstractNumId w:val="1"/>
  </w:num>
  <w:num w:numId="15" w16cid:durableId="478501510">
    <w:abstractNumId w:val="0"/>
  </w:num>
  <w:num w:numId="16" w16cid:durableId="461769490">
    <w:abstractNumId w:val="14"/>
  </w:num>
  <w:num w:numId="17" w16cid:durableId="1412699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2345"/>
    <w:rsid w:val="00182B84"/>
    <w:rsid w:val="0018646B"/>
    <w:rsid w:val="00186B9C"/>
    <w:rsid w:val="00191D12"/>
    <w:rsid w:val="001A464A"/>
    <w:rsid w:val="001E291F"/>
    <w:rsid w:val="00204CC3"/>
    <w:rsid w:val="002139E5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2667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A7D5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D7E05"/>
    <w:rsid w:val="00EE3A11"/>
    <w:rsid w:val="00EE4445"/>
    <w:rsid w:val="00F0047B"/>
    <w:rsid w:val="00F263FA"/>
    <w:rsid w:val="00F32397"/>
    <w:rsid w:val="00F40595"/>
    <w:rsid w:val="00F6090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9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ISR/24_02437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7EBC-2AF7-4BD4-BC50-A0B5DEC210F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394</Words>
  <Characters>2249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2024-04-04T08:31:00Z</dcterms:created>
  <dcterms:modified xsi:type="dcterms:W3CDTF">2024-04-04T08:54:00Z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