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0F34" w14:textId="77777777" w:rsidR="009239F7" w:rsidRPr="002F6A28" w:rsidRDefault="00BE77A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162B0F" w14:textId="77777777" w:rsidR="009239F7" w:rsidRPr="002F6A28" w:rsidRDefault="00BE77A6" w:rsidP="002F6A28">
      <w:pPr>
        <w:jc w:val="center"/>
      </w:pPr>
      <w:r w:rsidRPr="002F6A28">
        <w:t>The following notification is being circulated in accordance with Article 10.6</w:t>
      </w:r>
    </w:p>
    <w:p w14:paraId="067ED13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62C91" w14:paraId="2766AEF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A2DF57D" w14:textId="77777777" w:rsidR="00F85C99" w:rsidRPr="002F6A28" w:rsidRDefault="00BE77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2F9E91" w14:textId="77777777" w:rsidR="00F85C99" w:rsidRPr="002F6A28" w:rsidRDefault="00BE77A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1DE2F892" w14:textId="77777777" w:rsidR="00F85C99" w:rsidRPr="002F6A28" w:rsidRDefault="00BE77A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62C91" w14:paraId="70051E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3F15C" w14:textId="77777777" w:rsidR="00F85C99" w:rsidRPr="002F6A28" w:rsidRDefault="00BE77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F1AE9" w14:textId="77777777" w:rsidR="00F85C99" w:rsidRPr="002F6A28" w:rsidRDefault="00BE77A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F9810DF" w14:textId="77777777" w:rsidR="00EE3A11" w:rsidRPr="00C379C8" w:rsidRDefault="00BE77A6" w:rsidP="00155128">
            <w:pPr>
              <w:spacing w:after="120"/>
            </w:pPr>
            <w:r w:rsidRPr="00C379C8">
              <w:t>Korean Agency for Technology and Standards (KATS)</w:t>
            </w:r>
            <w:bookmarkEnd w:id="5"/>
          </w:p>
          <w:p w14:paraId="27CC05A4" w14:textId="77777777" w:rsidR="00F85C99" w:rsidRPr="002F6A28" w:rsidRDefault="00BE77A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9013B1E" w14:textId="77777777" w:rsidR="00AC6C6E" w:rsidRPr="00C379C8" w:rsidRDefault="00BE77A6" w:rsidP="00AA646C">
            <w:r w:rsidRPr="00C379C8">
              <w:t>Electrical &amp; Telecommunications Product Safety Division</w:t>
            </w:r>
          </w:p>
          <w:p w14:paraId="1F45E63C" w14:textId="77777777" w:rsidR="00AC6C6E" w:rsidRPr="00C379C8" w:rsidRDefault="00BE77A6" w:rsidP="00AA646C">
            <w:r w:rsidRPr="00C379C8">
              <w:t>Korean Agency for Technology and Standards</w:t>
            </w:r>
          </w:p>
          <w:p w14:paraId="579E5AB2" w14:textId="77777777" w:rsidR="00AC6C6E" w:rsidRPr="00C379C8" w:rsidRDefault="00BE77A6" w:rsidP="00AA646C">
            <w:r w:rsidRPr="00C379C8">
              <w:t>Ministry of Trade, Industry and Energy</w:t>
            </w:r>
          </w:p>
          <w:p w14:paraId="710A42C4" w14:textId="77777777" w:rsidR="00AC6C6E" w:rsidRPr="00C379C8" w:rsidRDefault="00BE77A6" w:rsidP="00AA646C">
            <w:r w:rsidRPr="00C379C8">
              <w:t>93 Isu-ro, Maengdong-myeon, Eumseong-gun, Chungcheongbuk-do, 27737</w:t>
            </w:r>
          </w:p>
          <w:p w14:paraId="31B04CD2" w14:textId="77777777" w:rsidR="00AC6C6E" w:rsidRPr="00C379C8" w:rsidRDefault="00BE77A6" w:rsidP="00AA646C">
            <w:r w:rsidRPr="00C379C8">
              <w:t>Republic of Korea</w:t>
            </w:r>
          </w:p>
          <w:p w14:paraId="537FD241" w14:textId="77777777" w:rsidR="00AC6C6E" w:rsidRPr="00C379C8" w:rsidRDefault="00BE77A6" w:rsidP="00AA646C">
            <w:r w:rsidRPr="00C379C8">
              <w:t>Tel: (+82) 43- 870-5444</w:t>
            </w:r>
          </w:p>
          <w:p w14:paraId="69B1E9C4" w14:textId="77777777" w:rsidR="00AC6C6E" w:rsidRPr="00C379C8" w:rsidRDefault="00BE77A6" w:rsidP="00AA646C">
            <w:r w:rsidRPr="00C379C8">
              <w:t>Fax: (+82) 43-870-5676</w:t>
            </w:r>
          </w:p>
          <w:p w14:paraId="69620275" w14:textId="77777777" w:rsidR="00AC6C6E" w:rsidRPr="00C379C8" w:rsidRDefault="00BE77A6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psd0@korea.kr</w:t>
              </w:r>
            </w:hyperlink>
            <w:bookmarkEnd w:id="7"/>
          </w:p>
        </w:tc>
      </w:tr>
      <w:tr w:rsidR="00D62C91" w14:paraId="6DCCBF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C0960" w14:textId="77777777" w:rsidR="00F85C99" w:rsidRPr="002F6A28" w:rsidRDefault="00BE7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06C70" w14:textId="77777777" w:rsidR="00F85C99" w:rsidRPr="0058336F" w:rsidRDefault="00BE77A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62C91" w14:paraId="0162C9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A079B" w14:textId="77777777" w:rsidR="00F85C99" w:rsidRPr="002F6A28" w:rsidRDefault="00BE77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2C2AA" w14:textId="77777777" w:rsidR="00F85C99" w:rsidRPr="002F6A28" w:rsidRDefault="00BE77A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Plugs, socket-outlets, vehicle connectors, vehicle inlets and adaptors – Conductive charging of electric vehicles</w:t>
            </w:r>
            <w:bookmarkEnd w:id="22"/>
          </w:p>
        </w:tc>
      </w:tr>
      <w:tr w:rsidR="00D62C91" w14:paraId="6C3F57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C9FE2" w14:textId="77777777" w:rsidR="00F85C99" w:rsidRPr="002F6A28" w:rsidRDefault="00BE77A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E8774" w14:textId="77777777" w:rsidR="00F85C99" w:rsidRPr="002F6A28" w:rsidRDefault="00BE77A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enactment to the "Technical Regulations for Electrical and Telecommunication Products and Components – KC62196-3-1: Plugs, socket-outlets, vehicle connectors, vehicle inlets and adaptors – Conductive charging of electric vehicles, Part 3-1: Vehicle connector, vehicle inlet and cable assembly for DC charging intended to be used with a thermal management system"; (66 page(s), in Korean)</w:t>
            </w:r>
            <w:bookmarkEnd w:id="24"/>
          </w:p>
        </w:tc>
      </w:tr>
      <w:tr w:rsidR="00D62C91" w14:paraId="6CD8F1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CE10D" w14:textId="77777777" w:rsidR="00F85C99" w:rsidRPr="002F6A28" w:rsidRDefault="00BE7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28585" w14:textId="77777777" w:rsidR="00F85C99" w:rsidRPr="002F6A28" w:rsidRDefault="00BE77A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Particular requirements for Plugs, socket-outlets, vehicle connectors, vehicle inlets and adaptors – Conductive charging of electric vehicles - Vehicle connector, vehicle inlet and cable assembly for DC charging intended to be used with a thermal management system(KC 62196-3-1) will be harmonized with relevant international standards(IEC 62196-3-1, Ed 1.0, 2020). </w:t>
            </w:r>
            <w:bookmarkEnd w:id="26"/>
          </w:p>
        </w:tc>
      </w:tr>
      <w:tr w:rsidR="00D62C91" w14:paraId="7124FF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788D7" w14:textId="77777777" w:rsidR="00F85C99" w:rsidRPr="002F6A28" w:rsidRDefault="00BE7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9808A" w14:textId="77777777" w:rsidR="00F85C99" w:rsidRPr="002F6A28" w:rsidRDefault="00BE77A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Harmonization</w:t>
            </w:r>
            <w:bookmarkEnd w:id="28"/>
          </w:p>
        </w:tc>
      </w:tr>
      <w:tr w:rsidR="00D62C91" w14:paraId="5F4CEE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F5C43" w14:textId="77777777" w:rsidR="00F85C99" w:rsidRPr="002F6A28" w:rsidRDefault="00BE77A6" w:rsidP="00BE77A6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33F3E" w14:textId="77777777" w:rsidR="00072B36" w:rsidRPr="002F6A28" w:rsidRDefault="00BE77A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67E239D" w14:textId="77777777" w:rsidR="00F85C99" w:rsidRPr="002F6A28" w:rsidRDefault="00BE77A6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KATS Public Notification No.2022-0256(16 Sep 2022)</w:t>
            </w:r>
          </w:p>
          <w:p w14:paraId="2028FBB4" w14:textId="77777777" w:rsidR="00F85C99" w:rsidRPr="002F6A28" w:rsidRDefault="00BE77A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IEC 62196-3-1(Ed 1.0, 2020) Plugs, socket-outlets, vehicle connectors and vehicle inlets – Conductive charging of electric vehicles Part 3-1: Vehicle connector, vehicle inlet and cable assembly for DC charging intended to be used with a thermal management system</w:t>
            </w:r>
            <w:bookmarkEnd w:id="30"/>
          </w:p>
        </w:tc>
      </w:tr>
      <w:tr w:rsidR="00D62C91" w14:paraId="14FD4A9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D24DD" w14:textId="77777777" w:rsidR="00EE3A11" w:rsidRPr="002F6A28" w:rsidRDefault="00BE7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BE6BC" w14:textId="77777777" w:rsidR="00EE3A11" w:rsidRPr="002F6A28" w:rsidRDefault="00BE77A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A3F99D5" w14:textId="77777777" w:rsidR="00EE3A11" w:rsidRPr="002F6A28" w:rsidRDefault="00BE77A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July 2023</w:t>
            </w:r>
            <w:bookmarkStart w:id="36" w:name="sps11b"/>
            <w:bookmarkEnd w:id="35"/>
            <w:r w:rsidRPr="00C379C8">
              <w:t>; 01 July 2023</w:t>
            </w:r>
            <w:bookmarkEnd w:id="36"/>
          </w:p>
        </w:tc>
      </w:tr>
      <w:tr w:rsidR="00D62C91" w14:paraId="787644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2230B" w14:textId="77777777" w:rsidR="00F85C99" w:rsidRPr="002F6A28" w:rsidRDefault="00BE77A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747B2" w14:textId="77777777" w:rsidR="00F85C99" w:rsidRPr="002F6A28" w:rsidRDefault="00BE77A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62C91" w14:paraId="389C734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27AA4B" w14:textId="77777777" w:rsidR="00F85C99" w:rsidRPr="002F6A28" w:rsidRDefault="00BE77A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8BCFB8D" w14:textId="77777777" w:rsidR="00F85C99" w:rsidRPr="002F6A28" w:rsidRDefault="00BE77A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50B3741" w14:textId="77777777" w:rsidR="00EE3A11" w:rsidRPr="00A12DDE" w:rsidRDefault="00BE77A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6A5362B9" w14:textId="77777777" w:rsidR="00EE3A11" w:rsidRPr="00A12DDE" w:rsidRDefault="00BE77A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1BFF3032" w14:textId="77777777" w:rsidR="00EE3A11" w:rsidRPr="00A12DDE" w:rsidRDefault="00BE77A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27E8B19A" w14:textId="77777777" w:rsidR="00EE3A11" w:rsidRPr="00A12DDE" w:rsidRDefault="00BE77A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24F226B5" w14:textId="77777777" w:rsidR="00EE3A11" w:rsidRPr="00A12DDE" w:rsidRDefault="00BE77A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  <w:r w:rsidRPr="00A12DDE">
              <w:rPr>
                <w:bCs/>
              </w:rPr>
              <w:t xml:space="preserve"> 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78C3A559" w14:textId="77777777" w:rsidR="00EE3A11" w:rsidRPr="00A12DDE" w:rsidRDefault="001021BE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0" w:tgtFrame="_blank" w:history="1">
              <w:r w:rsidR="00BE77A6" w:rsidRPr="00A12DDE">
                <w:rPr>
                  <w:bCs/>
                  <w:color w:val="0000FF"/>
                  <w:u w:val="single"/>
                </w:rPr>
                <w:t>https://members.wto.org/crnattachments/2022/TBT/KOR/22_6239_00_x.pdf</w:t>
              </w:r>
            </w:hyperlink>
          </w:p>
          <w:p w14:paraId="04AB3EFF" w14:textId="77777777" w:rsidR="00EE3A11" w:rsidRPr="00A12DDE" w:rsidRDefault="001021BE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BE77A6" w:rsidRPr="00A12DDE">
                <w:rPr>
                  <w:bCs/>
                  <w:color w:val="0000FF"/>
                  <w:u w:val="single"/>
                </w:rPr>
                <w:t>https://members.wto.org/crnattachments/2022/TBT/KOR/22_6239_01_x.pdf</w:t>
              </w:r>
            </w:hyperlink>
            <w:bookmarkEnd w:id="42"/>
          </w:p>
        </w:tc>
      </w:tr>
    </w:tbl>
    <w:p w14:paraId="64FE94C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F16F" w14:textId="77777777" w:rsidR="0054023C" w:rsidRDefault="00BE77A6">
      <w:r>
        <w:separator/>
      </w:r>
    </w:p>
  </w:endnote>
  <w:endnote w:type="continuationSeparator" w:id="0">
    <w:p w14:paraId="06A4C261" w14:textId="77777777" w:rsidR="0054023C" w:rsidRDefault="00BE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AAA1" w14:textId="77777777" w:rsidR="009239F7" w:rsidRPr="002F6A28" w:rsidRDefault="00BE77A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4BA7" w14:textId="77777777" w:rsidR="009239F7" w:rsidRPr="002F6A28" w:rsidRDefault="00BE77A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9ED2" w14:textId="77777777" w:rsidR="00EE3A11" w:rsidRPr="002F6A28" w:rsidRDefault="00BE77A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5C0E" w14:textId="77777777" w:rsidR="0054023C" w:rsidRDefault="00BE77A6">
      <w:r>
        <w:separator/>
      </w:r>
    </w:p>
  </w:footnote>
  <w:footnote w:type="continuationSeparator" w:id="0">
    <w:p w14:paraId="29AAD6E0" w14:textId="77777777" w:rsidR="0054023C" w:rsidRDefault="00BE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AAE6" w14:textId="77777777" w:rsidR="009239F7" w:rsidRPr="002F6A28" w:rsidRDefault="00BE77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CFFF60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8E0E0F" w14:textId="77777777" w:rsidR="009239F7" w:rsidRPr="002F6A28" w:rsidRDefault="00BE77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BE330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FE82" w14:textId="77777777" w:rsidR="009239F7" w:rsidRPr="002F6A28" w:rsidRDefault="00BE77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G/TBT/N/KOR/1101</w:t>
    </w:r>
    <w:bookmarkEnd w:id="43"/>
  </w:p>
  <w:p w14:paraId="5BBBA22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49C090" w14:textId="77777777" w:rsidR="009239F7" w:rsidRPr="002F6A28" w:rsidRDefault="00BE77A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6D25D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2C91" w14:paraId="5C8DE6C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8652C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23555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62C91" w14:paraId="7D2F089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DA9FEE" w14:textId="77777777" w:rsidR="00ED54E0" w:rsidRPr="009239F7" w:rsidRDefault="00BE77A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44CA18" wp14:editId="1B09E68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8177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36462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62C91" w14:paraId="480DA0C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692CF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EF1537" w14:textId="77777777" w:rsidR="009239F7" w:rsidRPr="002F6A28" w:rsidRDefault="00BE77A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G/TBT/N/KOR/1101</w:t>
          </w:r>
          <w:bookmarkEnd w:id="45"/>
        </w:p>
      </w:tc>
    </w:tr>
    <w:tr w:rsidR="00D62C91" w14:paraId="013B569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D6B7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70ECDB" w14:textId="22999C4E" w:rsidR="00ED54E0" w:rsidRPr="009239F7" w:rsidRDefault="00BE77A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September 2022</w:t>
          </w:r>
        </w:p>
      </w:tc>
    </w:tr>
    <w:tr w:rsidR="00D62C91" w14:paraId="6369CEA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76A2B2" w14:textId="51EB1291" w:rsidR="00ED54E0" w:rsidRPr="009239F7" w:rsidRDefault="00BE77A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021BE">
            <w:rPr>
              <w:color w:val="FF0000"/>
              <w:szCs w:val="16"/>
            </w:rPr>
            <w:t>6870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4C6274" w14:textId="77777777" w:rsidR="00ED54E0" w:rsidRPr="009239F7" w:rsidRDefault="00BE77A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62C91" w14:paraId="5514CDB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291C87" w14:textId="77777777" w:rsidR="00ED54E0" w:rsidRPr="009239F7" w:rsidRDefault="00BE77A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3854A9" w14:textId="77777777" w:rsidR="00ED54E0" w:rsidRPr="002F6A28" w:rsidRDefault="00BE77A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A246B5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864F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8A6A48" w:tentative="1">
      <w:start w:val="1"/>
      <w:numFmt w:val="lowerLetter"/>
      <w:lvlText w:val="%2."/>
      <w:lvlJc w:val="left"/>
      <w:pPr>
        <w:ind w:left="1080" w:hanging="360"/>
      </w:pPr>
    </w:lvl>
    <w:lvl w:ilvl="2" w:tplc="C12437B2" w:tentative="1">
      <w:start w:val="1"/>
      <w:numFmt w:val="lowerRoman"/>
      <w:lvlText w:val="%3."/>
      <w:lvlJc w:val="right"/>
      <w:pPr>
        <w:ind w:left="1800" w:hanging="180"/>
      </w:pPr>
    </w:lvl>
    <w:lvl w:ilvl="3" w:tplc="1414B84E" w:tentative="1">
      <w:start w:val="1"/>
      <w:numFmt w:val="decimal"/>
      <w:lvlText w:val="%4."/>
      <w:lvlJc w:val="left"/>
      <w:pPr>
        <w:ind w:left="2520" w:hanging="360"/>
      </w:pPr>
    </w:lvl>
    <w:lvl w:ilvl="4" w:tplc="244840A4" w:tentative="1">
      <w:start w:val="1"/>
      <w:numFmt w:val="lowerLetter"/>
      <w:lvlText w:val="%5."/>
      <w:lvlJc w:val="left"/>
      <w:pPr>
        <w:ind w:left="3240" w:hanging="360"/>
      </w:pPr>
    </w:lvl>
    <w:lvl w:ilvl="5" w:tplc="33106A10" w:tentative="1">
      <w:start w:val="1"/>
      <w:numFmt w:val="lowerRoman"/>
      <w:lvlText w:val="%6."/>
      <w:lvlJc w:val="right"/>
      <w:pPr>
        <w:ind w:left="3960" w:hanging="180"/>
      </w:pPr>
    </w:lvl>
    <w:lvl w:ilvl="6" w:tplc="774AEE9E" w:tentative="1">
      <w:start w:val="1"/>
      <w:numFmt w:val="decimal"/>
      <w:lvlText w:val="%7."/>
      <w:lvlJc w:val="left"/>
      <w:pPr>
        <w:ind w:left="4680" w:hanging="360"/>
      </w:pPr>
    </w:lvl>
    <w:lvl w:ilvl="7" w:tplc="C640FFB2" w:tentative="1">
      <w:start w:val="1"/>
      <w:numFmt w:val="lowerLetter"/>
      <w:lvlText w:val="%8."/>
      <w:lvlJc w:val="left"/>
      <w:pPr>
        <w:ind w:left="5400" w:hanging="360"/>
      </w:pPr>
    </w:lvl>
    <w:lvl w:ilvl="8" w:tplc="F698E6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64A6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769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AA7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74FC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9C1A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F0A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C09E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C265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ACB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0BF7"/>
    <w:rsid w:val="001021BE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2577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023C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E77A6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62C91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E4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6239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2/TBT/KOR/22_6239_00_x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434</Words>
  <Characters>2774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2022-09-19T08:02:00Z</dcterms:created>
  <dcterms:modified xsi:type="dcterms:W3CDTF">2022-09-19T09:48:00Z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