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1BDB" w14:textId="77777777" w:rsidR="009239F7" w:rsidRPr="002F6A28" w:rsidRDefault="00494C95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7827CA5" w14:textId="77777777" w:rsidR="009239F7" w:rsidRPr="002F6A28" w:rsidRDefault="00494C95" w:rsidP="002F6A28">
      <w:pPr>
        <w:jc w:val="center"/>
      </w:pPr>
      <w:r w:rsidRPr="002F6A28">
        <w:t>The following notification is being circulated in accordance with Article 10.6</w:t>
      </w:r>
    </w:p>
    <w:p w14:paraId="23F4A8D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379B5" w14:paraId="265FC45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BFE5DAD" w14:textId="77777777" w:rsidR="00F85C99" w:rsidRPr="002F6A28" w:rsidRDefault="00494C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85CB5AC" w14:textId="77777777" w:rsidR="00F85C99" w:rsidRPr="002F6A28" w:rsidRDefault="00494C9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PHILIPPINES</w:t>
            </w:r>
            <w:bookmarkEnd w:id="1"/>
          </w:p>
          <w:p w14:paraId="47B28331" w14:textId="77777777" w:rsidR="00F85C99" w:rsidRPr="002F6A28" w:rsidRDefault="00494C9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379B5" w14:paraId="42DA0D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D349F" w14:textId="77777777" w:rsidR="00F85C99" w:rsidRPr="002F6A28" w:rsidRDefault="00494C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895E0" w14:textId="77777777" w:rsidR="00F85C99" w:rsidRPr="002F6A28" w:rsidRDefault="00494C9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DFA6B3F" w14:textId="77777777" w:rsidR="00EE3A11" w:rsidRPr="00C379C8" w:rsidRDefault="00494C95" w:rsidP="00155128">
            <w:r w:rsidRPr="00C379C8">
              <w:t>DR. SAMUEL A. ZACATE</w:t>
            </w:r>
          </w:p>
          <w:p w14:paraId="4AF1248E" w14:textId="77777777" w:rsidR="00EE3A11" w:rsidRPr="00C379C8" w:rsidRDefault="00494C95" w:rsidP="00155128">
            <w:r w:rsidRPr="00C379C8">
              <w:t>Director General</w:t>
            </w:r>
          </w:p>
          <w:p w14:paraId="20143F2B" w14:textId="77777777" w:rsidR="00EE3A11" w:rsidRPr="00C379C8" w:rsidRDefault="00494C95" w:rsidP="00155128">
            <w:r w:rsidRPr="00C379C8">
              <w:t>Food and Drug Administration</w:t>
            </w:r>
          </w:p>
          <w:p w14:paraId="43C81775" w14:textId="77777777" w:rsidR="00EE3A11" w:rsidRPr="00C379C8" w:rsidRDefault="00494C95" w:rsidP="00155128">
            <w:pPr>
              <w:spacing w:after="120"/>
            </w:pPr>
            <w:r w:rsidRPr="00C379C8">
              <w:t>DEPARTMENT OF HEALTH</w:t>
            </w:r>
            <w:bookmarkEnd w:id="5"/>
          </w:p>
          <w:p w14:paraId="6E38BE3D" w14:textId="77777777" w:rsidR="00F85C99" w:rsidRPr="002F6A28" w:rsidRDefault="00494C9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1E72918" w14:textId="77777777" w:rsidR="00AC6C6E" w:rsidRPr="00C379C8" w:rsidRDefault="00494C95" w:rsidP="00AA646C">
            <w:r w:rsidRPr="00C379C8">
              <w:t>MARIA CECILIA C. MATIENZO</w:t>
            </w:r>
          </w:p>
          <w:p w14:paraId="6C2025CE" w14:textId="77777777" w:rsidR="00AC6C6E" w:rsidRPr="00C379C8" w:rsidRDefault="00494C95" w:rsidP="00AA646C">
            <w:r w:rsidRPr="00C379C8">
              <w:t>Director IV</w:t>
            </w:r>
          </w:p>
          <w:p w14:paraId="2857307F" w14:textId="77777777" w:rsidR="00AC6C6E" w:rsidRPr="00C379C8" w:rsidRDefault="00494C95" w:rsidP="00AA646C">
            <w:r w:rsidRPr="00C379C8">
              <w:t>Center for Device Regulation, Radiation Health, and Research</w:t>
            </w:r>
          </w:p>
          <w:p w14:paraId="33EC37E7" w14:textId="77777777" w:rsidR="00AC6C6E" w:rsidRPr="00C379C8" w:rsidRDefault="00494C95" w:rsidP="00AA646C">
            <w:r w:rsidRPr="00C379C8">
              <w:t>Food and Drug Administration</w:t>
            </w:r>
          </w:p>
          <w:p w14:paraId="08296280" w14:textId="77777777" w:rsidR="00AC6C6E" w:rsidRPr="00C379C8" w:rsidRDefault="00494C95" w:rsidP="00AA646C">
            <w:r w:rsidRPr="00C379C8">
              <w:t>DEPARTMENT OF HEALTH</w:t>
            </w:r>
          </w:p>
          <w:p w14:paraId="36B48A37" w14:textId="77777777" w:rsidR="00AC6C6E" w:rsidRPr="00C379C8" w:rsidRDefault="00494C95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mccmatienzo@fda.gov.ph</w:t>
              </w:r>
            </w:hyperlink>
            <w:r w:rsidRPr="00C379C8">
              <w:t xml:space="preserve"> ; </w:t>
            </w:r>
            <w:hyperlink r:id="rId8" w:history="1">
              <w:r w:rsidRPr="00C379C8">
                <w:rPr>
                  <w:color w:val="0000FF"/>
                  <w:u w:val="single"/>
                </w:rPr>
                <w:t>cdrrhr@fda.gov.ph</w:t>
              </w:r>
            </w:hyperlink>
            <w:r w:rsidRPr="00C379C8">
              <w:t xml:space="preserve"> ; </w:t>
            </w:r>
            <w:hyperlink r:id="rId9" w:history="1">
              <w:r w:rsidRPr="00C379C8">
                <w:rPr>
                  <w:color w:val="0000FF"/>
                  <w:u w:val="single"/>
                </w:rPr>
                <w:t>bps@dti.gov.ph</w:t>
              </w:r>
            </w:hyperlink>
          </w:p>
          <w:p w14:paraId="47271EEC" w14:textId="77777777" w:rsidR="00AC6C6E" w:rsidRPr="00C379C8" w:rsidRDefault="00494C95" w:rsidP="00AA646C">
            <w:pPr>
              <w:spacing w:after="120"/>
            </w:pPr>
            <w:r w:rsidRPr="00C379C8">
              <w:t>www.fda.gov.ph</w:t>
            </w:r>
            <w:bookmarkEnd w:id="7"/>
          </w:p>
        </w:tc>
      </w:tr>
      <w:tr w:rsidR="000379B5" w14:paraId="074FFB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07E02" w14:textId="77777777" w:rsidR="00F85C99" w:rsidRPr="002F6A28" w:rsidRDefault="00494C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EF3E9" w14:textId="77777777" w:rsidR="00F85C99" w:rsidRPr="0058336F" w:rsidRDefault="00494C9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379B5" w14:paraId="13043A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6E102" w14:textId="77777777" w:rsidR="00F85C99" w:rsidRPr="002F6A28" w:rsidRDefault="00494C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2D64E" w14:textId="77777777" w:rsidR="00F85C99" w:rsidRPr="002F6A28" w:rsidRDefault="00494C9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Machinery, plant or laboratory equipment whether or not electrically heated (excl. furnaces, ovens and other equipment of heading 8514), for the treatment of materials by a process involving a change of temperature such as heating, cooking, roasting, distilling, rectifying, sterilising, pasteurising, steaming, drying, evaporating, vaporising, condensing or cooling (excl. those used for domestic purposes); instantaneous or storage water heaters, non-electric; parts thereof (HS code(s): 8419)</w:t>
            </w:r>
            <w:bookmarkEnd w:id="22"/>
          </w:p>
        </w:tc>
      </w:tr>
      <w:tr w:rsidR="000379B5" w14:paraId="414A86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3B1013" w14:textId="77777777" w:rsidR="00F85C99" w:rsidRPr="002F6A28" w:rsidRDefault="00494C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4818C" w14:textId="77777777" w:rsidR="00F85C99" w:rsidRPr="002F6A28" w:rsidRDefault="00494C9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"Addendum to Administrative Order No. 50 s.2001 entitled "Revised 2001 Schedule of Fees and Charges for the Corresponding Services Rendered by the Bureau of Food and Drugs"; (3 page(s), in English)</w:t>
            </w:r>
            <w:bookmarkEnd w:id="24"/>
          </w:p>
        </w:tc>
      </w:tr>
      <w:tr w:rsidR="000379B5" w14:paraId="703007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0DBCD" w14:textId="77777777" w:rsidR="00F85C99" w:rsidRPr="002F6A28" w:rsidRDefault="00494C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D3610" w14:textId="77777777" w:rsidR="00F85C99" w:rsidRPr="002F6A28" w:rsidRDefault="00494C9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issuance aims to provide reference for the licensing fees of manufacturers, traders, and distributors (importers, exporters, and wholesalers) of health-related devices such as equipment or devices used for treating sharps, pathological, and infectious wastes, and water treatment devices/systems.</w:t>
            </w:r>
            <w:bookmarkEnd w:id="26"/>
          </w:p>
        </w:tc>
      </w:tr>
      <w:tr w:rsidR="000379B5" w14:paraId="235604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C5879" w14:textId="77777777" w:rsidR="00F85C99" w:rsidRPr="002F6A28" w:rsidRDefault="00494C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B0A46" w14:textId="77777777" w:rsidR="00F85C99" w:rsidRPr="002F6A28" w:rsidRDefault="00494C9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0379B5" w14:paraId="324586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68B1E" w14:textId="77777777" w:rsidR="00F85C99" w:rsidRPr="002F6A28" w:rsidRDefault="00494C9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3C54E" w14:textId="77777777" w:rsidR="00072B36" w:rsidRPr="002F6A28" w:rsidRDefault="00494C9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C651F26" w14:textId="77777777" w:rsidR="00F85C99" w:rsidRPr="002F6A28" w:rsidRDefault="00494C95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Republic Act 9711 "Food and Drug Administration (FDA) Act of 2009"</w:t>
            </w:r>
          </w:p>
          <w:p w14:paraId="0E68B82B" w14:textId="77777777" w:rsidR="00F85C99" w:rsidRPr="002F6A28" w:rsidRDefault="00494C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Administrative Order (AO) No. 2020-0017 "Revised Guidelines on the Unified Licensing Requirements and Procedures of the Food and Drug Administration Repealing Administrative Order No. 2016-0003"</w:t>
            </w:r>
          </w:p>
          <w:p w14:paraId="626E0869" w14:textId="77777777" w:rsidR="00F85C99" w:rsidRPr="002F6A28" w:rsidRDefault="00494C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 No.50 series 2001 "Revised 2001 Schedule of Fees and Charges for the Corresponding Services Rendered by the Bureau of Food and Drugs"</w:t>
            </w:r>
            <w:bookmarkEnd w:id="30"/>
          </w:p>
        </w:tc>
      </w:tr>
      <w:tr w:rsidR="000379B5" w14:paraId="575D180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B2FFF" w14:textId="77777777" w:rsidR="00EE3A11" w:rsidRPr="002F6A28" w:rsidRDefault="00494C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D03B4" w14:textId="77777777" w:rsidR="00EE3A11" w:rsidRPr="002F6A28" w:rsidRDefault="00494C9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D7407D4" w14:textId="77777777" w:rsidR="00EE3A11" w:rsidRPr="002F6A28" w:rsidRDefault="00494C9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0379B5" w14:paraId="064094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F6703" w14:textId="77777777" w:rsidR="00F85C99" w:rsidRPr="002F6A28" w:rsidRDefault="00494C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FA6D9" w14:textId="77777777" w:rsidR="00F85C99" w:rsidRPr="002F6A28" w:rsidRDefault="00494C9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379B5" w14:paraId="0431309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6925DAB" w14:textId="77777777" w:rsidR="00F85C99" w:rsidRPr="002F6A28" w:rsidRDefault="00494C9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8205504" w14:textId="77777777" w:rsidR="00F85C99" w:rsidRPr="002F6A28" w:rsidRDefault="00494C9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B6A69DF" w14:textId="77777777" w:rsidR="00EE3A11" w:rsidRPr="00A12DDE" w:rsidRDefault="00494C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Mr. Neil P. Catajay</w:t>
            </w:r>
          </w:p>
          <w:p w14:paraId="7C6C6DAB" w14:textId="77777777" w:rsidR="00EE3A11" w:rsidRPr="00A12DDE" w:rsidRDefault="00494C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</w:t>
            </w:r>
          </w:p>
          <w:p w14:paraId="66B83B45" w14:textId="77777777" w:rsidR="00EE3A11" w:rsidRPr="00A12DDE" w:rsidRDefault="00494C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Philippine Standards</w:t>
            </w:r>
          </w:p>
          <w:p w14:paraId="44C6B389" w14:textId="77777777" w:rsidR="00EE3A11" w:rsidRPr="00A12DDE" w:rsidRDefault="00494C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of Trade and Industry</w:t>
            </w:r>
          </w:p>
          <w:p w14:paraId="15E27713" w14:textId="77777777" w:rsidR="00EE3A11" w:rsidRPr="00A12DDE" w:rsidRDefault="00494C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3F Trade and Industry Building</w:t>
            </w:r>
          </w:p>
          <w:p w14:paraId="2BFEC163" w14:textId="77777777" w:rsidR="00EE3A11" w:rsidRPr="00A12DDE" w:rsidRDefault="00494C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361 Sen. Gil Puyat Avenue</w:t>
            </w:r>
          </w:p>
          <w:p w14:paraId="674DB041" w14:textId="77777777" w:rsidR="00EE3A11" w:rsidRPr="00A12DDE" w:rsidRDefault="00494C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Makati City</w:t>
            </w:r>
          </w:p>
          <w:p w14:paraId="2A6F9DC8" w14:textId="77777777" w:rsidR="00EE3A11" w:rsidRPr="00A12DDE" w:rsidRDefault="00494C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Philippines</w:t>
            </w:r>
          </w:p>
          <w:p w14:paraId="1704D847" w14:textId="77777777" w:rsidR="00EE3A11" w:rsidRPr="00A12DDE" w:rsidRDefault="00494C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(632) 751 4700; (632) 7913128</w:t>
            </w:r>
          </w:p>
          <w:p w14:paraId="2FE9CE5F" w14:textId="77777777" w:rsidR="00EE3A11" w:rsidRPr="00A12DDE" w:rsidRDefault="00494C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bps@dti.gov.ph</w:t>
              </w:r>
            </w:hyperlink>
          </w:p>
          <w:p w14:paraId="379EDD4A" w14:textId="77777777" w:rsidR="00EE3A11" w:rsidRPr="00A12DDE" w:rsidRDefault="00494C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http://www.bps.dti.gov.ph</w:t>
              </w:r>
            </w:hyperlink>
          </w:p>
          <w:p w14:paraId="649C445C" w14:textId="77777777" w:rsidR="00EE3A11" w:rsidRPr="00A12DDE" w:rsidRDefault="0015656C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hyperlink r:id="rId12" w:tgtFrame="_blank" w:history="1">
              <w:r w:rsidR="00494C95" w:rsidRPr="00A12DDE">
                <w:rPr>
                  <w:bCs/>
                  <w:color w:val="0000FF"/>
                  <w:u w:val="single"/>
                </w:rPr>
                <w:t>https://www.fda.gov.ph/draft-for-comments-addendum-to-administrative-order-no-50-s-2001-entitled-revised-2001-schedule-of-fees-and-charges-for-the-corresponding-services-rendered-by-the-bureau-of-food-and-drug/</w:t>
              </w:r>
            </w:hyperlink>
          </w:p>
          <w:p w14:paraId="59F76D83" w14:textId="77777777" w:rsidR="00EE3A11" w:rsidRPr="00A12DDE" w:rsidRDefault="0015656C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494C95" w:rsidRPr="00A12DDE">
                <w:rPr>
                  <w:bCs/>
                  <w:color w:val="0000FF"/>
                  <w:u w:val="single"/>
                </w:rPr>
                <w:t>https://members.wto.org/crnattachments/2023/TBT/PHL/23_1031_00_e.pdf</w:t>
              </w:r>
            </w:hyperlink>
            <w:bookmarkEnd w:id="42"/>
          </w:p>
        </w:tc>
      </w:tr>
    </w:tbl>
    <w:p w14:paraId="6E226101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F145" w14:textId="77777777" w:rsidR="00E4220B" w:rsidRDefault="00494C95">
      <w:r>
        <w:separator/>
      </w:r>
    </w:p>
  </w:endnote>
  <w:endnote w:type="continuationSeparator" w:id="0">
    <w:p w14:paraId="773B347E" w14:textId="77777777" w:rsidR="00E4220B" w:rsidRDefault="0049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5C21" w14:textId="77777777" w:rsidR="009239F7" w:rsidRPr="002F6A28" w:rsidRDefault="00494C95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FD66" w14:textId="77777777" w:rsidR="009239F7" w:rsidRPr="002F6A28" w:rsidRDefault="00494C95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EB88" w14:textId="77777777" w:rsidR="00EE3A11" w:rsidRPr="002F6A28" w:rsidRDefault="00494C95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5422" w14:textId="77777777" w:rsidR="00E4220B" w:rsidRDefault="00494C95">
      <w:r>
        <w:separator/>
      </w:r>
    </w:p>
  </w:footnote>
  <w:footnote w:type="continuationSeparator" w:id="0">
    <w:p w14:paraId="1C9D711E" w14:textId="77777777" w:rsidR="00E4220B" w:rsidRDefault="0049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7D43" w14:textId="77777777" w:rsidR="009239F7" w:rsidRPr="002F6A28" w:rsidRDefault="00494C9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419463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A75B69" w14:textId="77777777" w:rsidR="009239F7" w:rsidRPr="002F6A28" w:rsidRDefault="00494C9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6AA429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95EF" w14:textId="77777777" w:rsidR="009239F7" w:rsidRPr="002F6A28" w:rsidRDefault="00494C9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G/TBT/N/PHL/300</w:t>
    </w:r>
    <w:bookmarkEnd w:id="43"/>
  </w:p>
  <w:p w14:paraId="0393E24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5D2372" w14:textId="77777777" w:rsidR="009239F7" w:rsidRPr="002F6A28" w:rsidRDefault="00494C9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F25C234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379B5" w14:paraId="73F2FDE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960E3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ABD40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379B5" w14:paraId="3EE838F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0307BE" w14:textId="77777777" w:rsidR="00ED54E0" w:rsidRPr="009239F7" w:rsidRDefault="00494C9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C244FE" wp14:editId="7BDD6EC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24022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4CDDD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379B5" w14:paraId="49795B2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DDE86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2938EA" w14:textId="77777777" w:rsidR="009239F7" w:rsidRPr="002F6A28" w:rsidRDefault="00494C9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G/TBT/N/PHL/300</w:t>
          </w:r>
          <w:bookmarkEnd w:id="45"/>
        </w:p>
      </w:tc>
    </w:tr>
    <w:tr w:rsidR="000379B5" w14:paraId="617BFD6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A9A6A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6C22B3" w14:textId="2976214C" w:rsidR="00ED54E0" w:rsidRPr="009239F7" w:rsidRDefault="00494C9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10 February 2023</w:t>
          </w:r>
        </w:p>
      </w:tc>
    </w:tr>
    <w:tr w:rsidR="000379B5" w14:paraId="1461547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B6149D" w14:textId="2CE9141E" w:rsidR="00ED54E0" w:rsidRPr="009239F7" w:rsidRDefault="00494C9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15656C">
            <w:rPr>
              <w:color w:val="FF0000"/>
              <w:szCs w:val="16"/>
            </w:rPr>
            <w:t>0991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41B8F5" w14:textId="77777777" w:rsidR="00ED54E0" w:rsidRPr="009239F7" w:rsidRDefault="00494C9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379B5" w14:paraId="5EEFD0B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F21B50" w14:textId="77777777" w:rsidR="00ED54E0" w:rsidRPr="009239F7" w:rsidRDefault="00494C9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0ED436" w14:textId="77777777" w:rsidR="00ED54E0" w:rsidRPr="002F6A28" w:rsidRDefault="00494C9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127DA8C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8B253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7E214A" w:tentative="1">
      <w:start w:val="1"/>
      <w:numFmt w:val="lowerLetter"/>
      <w:lvlText w:val="%2."/>
      <w:lvlJc w:val="left"/>
      <w:pPr>
        <w:ind w:left="1080" w:hanging="360"/>
      </w:pPr>
    </w:lvl>
    <w:lvl w:ilvl="2" w:tplc="9398C0D0" w:tentative="1">
      <w:start w:val="1"/>
      <w:numFmt w:val="lowerRoman"/>
      <w:lvlText w:val="%3."/>
      <w:lvlJc w:val="right"/>
      <w:pPr>
        <w:ind w:left="1800" w:hanging="180"/>
      </w:pPr>
    </w:lvl>
    <w:lvl w:ilvl="3" w:tplc="9AD0B99C" w:tentative="1">
      <w:start w:val="1"/>
      <w:numFmt w:val="decimal"/>
      <w:lvlText w:val="%4."/>
      <w:lvlJc w:val="left"/>
      <w:pPr>
        <w:ind w:left="2520" w:hanging="360"/>
      </w:pPr>
    </w:lvl>
    <w:lvl w:ilvl="4" w:tplc="39DE72BE" w:tentative="1">
      <w:start w:val="1"/>
      <w:numFmt w:val="lowerLetter"/>
      <w:lvlText w:val="%5."/>
      <w:lvlJc w:val="left"/>
      <w:pPr>
        <w:ind w:left="3240" w:hanging="360"/>
      </w:pPr>
    </w:lvl>
    <w:lvl w:ilvl="5" w:tplc="79622A4E" w:tentative="1">
      <w:start w:val="1"/>
      <w:numFmt w:val="lowerRoman"/>
      <w:lvlText w:val="%6."/>
      <w:lvlJc w:val="right"/>
      <w:pPr>
        <w:ind w:left="3960" w:hanging="180"/>
      </w:pPr>
    </w:lvl>
    <w:lvl w:ilvl="6" w:tplc="4BA427B8" w:tentative="1">
      <w:start w:val="1"/>
      <w:numFmt w:val="decimal"/>
      <w:lvlText w:val="%7."/>
      <w:lvlJc w:val="left"/>
      <w:pPr>
        <w:ind w:left="4680" w:hanging="360"/>
      </w:pPr>
    </w:lvl>
    <w:lvl w:ilvl="7" w:tplc="3D2E971E" w:tentative="1">
      <w:start w:val="1"/>
      <w:numFmt w:val="lowerLetter"/>
      <w:lvlText w:val="%8."/>
      <w:lvlJc w:val="left"/>
      <w:pPr>
        <w:ind w:left="5400" w:hanging="360"/>
      </w:pPr>
    </w:lvl>
    <w:lvl w:ilvl="8" w:tplc="FA2614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94D63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C61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2E60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E806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D697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EC47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2ACE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4C43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AC68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809585441">
    <w:abstractNumId w:val="9"/>
  </w:num>
  <w:num w:numId="2" w16cid:durableId="739643219">
    <w:abstractNumId w:val="7"/>
  </w:num>
  <w:num w:numId="3" w16cid:durableId="1988394984">
    <w:abstractNumId w:val="6"/>
  </w:num>
  <w:num w:numId="4" w16cid:durableId="1892886530">
    <w:abstractNumId w:val="5"/>
  </w:num>
  <w:num w:numId="5" w16cid:durableId="596719931">
    <w:abstractNumId w:val="4"/>
  </w:num>
  <w:num w:numId="6" w16cid:durableId="1440098896">
    <w:abstractNumId w:val="12"/>
  </w:num>
  <w:num w:numId="7" w16cid:durableId="363407974">
    <w:abstractNumId w:val="11"/>
  </w:num>
  <w:num w:numId="8" w16cid:durableId="1495414421">
    <w:abstractNumId w:val="10"/>
  </w:num>
  <w:num w:numId="9" w16cid:durableId="556358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1660765">
    <w:abstractNumId w:val="13"/>
  </w:num>
  <w:num w:numId="11" w16cid:durableId="1018777134">
    <w:abstractNumId w:val="8"/>
  </w:num>
  <w:num w:numId="12" w16cid:durableId="1062756031">
    <w:abstractNumId w:val="3"/>
  </w:num>
  <w:num w:numId="13" w16cid:durableId="1676683606">
    <w:abstractNumId w:val="2"/>
  </w:num>
  <w:num w:numId="14" w16cid:durableId="939332987">
    <w:abstractNumId w:val="1"/>
  </w:num>
  <w:num w:numId="15" w16cid:durableId="1643271865">
    <w:abstractNumId w:val="0"/>
  </w:num>
  <w:num w:numId="16" w16cid:durableId="15263595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9B5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5656C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94C95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84368"/>
    <w:rsid w:val="00D9226C"/>
    <w:rsid w:val="00D958B1"/>
    <w:rsid w:val="00DA20BD"/>
    <w:rsid w:val="00DE50DB"/>
    <w:rsid w:val="00DF6AE1"/>
    <w:rsid w:val="00E147CB"/>
    <w:rsid w:val="00E20B42"/>
    <w:rsid w:val="00E25473"/>
    <w:rsid w:val="00E30FFD"/>
    <w:rsid w:val="00E4220B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EAFE4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rrhr@fda.gov.ph" TargetMode="External"/><Relationship Id="rId13" Type="http://schemas.openxmlformats.org/officeDocument/2006/relationships/hyperlink" Target="https://members.wto.org/crnattachments/2023/TBT/PHL/23_1031_00_e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ccmatienzo@fda.gov.ph" TargetMode="External"/><Relationship Id="rId12" Type="http://schemas.openxmlformats.org/officeDocument/2006/relationships/hyperlink" Target="https://www.fda.gov.ph/draft-for-comments-addendum-to-administrative-order-no-50-s-2001-entitled-revised-2001-schedule-of-fees-and-charges-for-the-corresponding-services-rendered-by-the-bureau-of-food-and-drug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ps.dti.gov.p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ps@dti.gov.p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bps@dti.gov.p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2023-02-10T12:46:00Z</dcterms:created>
  <dcterms:modified xsi:type="dcterms:W3CDTF">2023-02-10T13:13:00Z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