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AEC2" w14:textId="77777777" w:rsidR="002D78C9" w:rsidRDefault="00173342" w:rsidP="00DD3DD7">
      <w:pPr>
        <w:pStyle w:val="Title"/>
      </w:pPr>
      <w:r w:rsidRPr="002F663C">
        <w:t>NOTIFICATION</w:t>
      </w:r>
    </w:p>
    <w:p w14:paraId="64B0132E" w14:textId="77777777" w:rsidR="002F663C" w:rsidRPr="002F663C" w:rsidRDefault="00173342" w:rsidP="00DD3DD7">
      <w:pPr>
        <w:pStyle w:val="Title3"/>
      </w:pPr>
      <w:r w:rsidRPr="002F663C">
        <w:t>Addendum</w:t>
      </w:r>
    </w:p>
    <w:p w14:paraId="51DCA938" w14:textId="77777777" w:rsidR="002F663C" w:rsidRDefault="0017334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954BD8F" w14:textId="77777777" w:rsidR="001E2E4A" w:rsidRPr="002F663C" w:rsidRDefault="001E2E4A" w:rsidP="001E2E4A">
      <w:pPr>
        <w:rPr>
          <w:rFonts w:eastAsia="Calibri" w:cs="Times New Roman"/>
        </w:rPr>
      </w:pPr>
    </w:p>
    <w:p w14:paraId="62F8E639" w14:textId="77777777" w:rsidR="002F663C" w:rsidRPr="002F663C" w:rsidRDefault="00173342" w:rsidP="002F663C">
      <w:pPr>
        <w:jc w:val="center"/>
        <w:rPr>
          <w:rFonts w:eastAsia="Calibri" w:cs="Times New Roman"/>
          <w:b/>
        </w:rPr>
      </w:pPr>
      <w:r w:rsidRPr="002F663C">
        <w:rPr>
          <w:rFonts w:eastAsia="Calibri" w:cs="Times New Roman"/>
          <w:b/>
        </w:rPr>
        <w:t>_______________</w:t>
      </w:r>
    </w:p>
    <w:p w14:paraId="01A4F94B" w14:textId="77777777" w:rsidR="002F663C" w:rsidRDefault="002F663C" w:rsidP="002F663C">
      <w:pPr>
        <w:rPr>
          <w:rFonts w:eastAsia="Calibri" w:cs="Times New Roman"/>
        </w:rPr>
      </w:pPr>
    </w:p>
    <w:p w14:paraId="30FC6AE5" w14:textId="77777777" w:rsidR="00C14444" w:rsidRPr="002F663C" w:rsidRDefault="00C14444" w:rsidP="002F663C">
      <w:pPr>
        <w:rPr>
          <w:rFonts w:eastAsia="Calibri" w:cs="Times New Roman"/>
        </w:rPr>
      </w:pPr>
    </w:p>
    <w:p w14:paraId="5E9D92F4" w14:textId="77777777" w:rsidR="002F663C" w:rsidRPr="002F663C" w:rsidRDefault="0017334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Poison Prevention Packaging Requirements; Proposed Exemption of </w:t>
      </w:r>
      <w:proofErr w:type="spellStart"/>
      <w:r w:rsidRPr="00022513">
        <w:rPr>
          <w:rFonts w:eastAsia="Calibri" w:cs="Times New Roman"/>
          <w:bCs/>
          <w:szCs w:val="18"/>
        </w:rPr>
        <w:t>Baloxavir</w:t>
      </w:r>
      <w:proofErr w:type="spellEnd"/>
      <w:r w:rsidRPr="00022513">
        <w:rPr>
          <w:rFonts w:eastAsia="Calibri" w:cs="Times New Roman"/>
          <w:bCs/>
          <w:szCs w:val="18"/>
        </w:rPr>
        <w:t xml:space="preserve"> </w:t>
      </w:r>
      <w:proofErr w:type="spellStart"/>
      <w:r w:rsidRPr="00022513">
        <w:rPr>
          <w:rFonts w:eastAsia="Calibri" w:cs="Times New Roman"/>
          <w:bCs/>
          <w:szCs w:val="18"/>
        </w:rPr>
        <w:t>Marboxil</w:t>
      </w:r>
      <w:proofErr w:type="spellEnd"/>
      <w:r w:rsidRPr="00022513">
        <w:rPr>
          <w:rFonts w:eastAsia="Calibri" w:cs="Times New Roman"/>
          <w:bCs/>
          <w:szCs w:val="18"/>
        </w:rPr>
        <w:t xml:space="preserve"> Tablets in Packages Containing Not More Than 80 mg of the Drug</w:t>
      </w:r>
      <w:bookmarkEnd w:id="3"/>
    </w:p>
    <w:p w14:paraId="5E1B961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85152" w14:paraId="7F81E47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3599A50" w14:textId="77777777" w:rsidR="002F663C" w:rsidRPr="002F663C" w:rsidRDefault="0017334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85152" w14:paraId="60C8AA78" w14:textId="77777777" w:rsidTr="00E9471B">
        <w:tc>
          <w:tcPr>
            <w:tcW w:w="851" w:type="dxa"/>
            <w:shd w:val="clear" w:color="auto" w:fill="auto"/>
          </w:tcPr>
          <w:p w14:paraId="3526E800" w14:textId="77777777" w:rsidR="002F663C" w:rsidRPr="00711F9C" w:rsidRDefault="0017334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09F0D29" w14:textId="77777777" w:rsidR="002F663C" w:rsidRPr="002F663C" w:rsidRDefault="0017334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85152" w14:paraId="01D43E63" w14:textId="77777777" w:rsidTr="00E9471B">
        <w:tc>
          <w:tcPr>
            <w:tcW w:w="851" w:type="dxa"/>
            <w:shd w:val="clear" w:color="auto" w:fill="auto"/>
          </w:tcPr>
          <w:p w14:paraId="0D40AFDD" w14:textId="77777777" w:rsidR="002F663C" w:rsidRPr="00711F9C" w:rsidRDefault="0017334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5A764D7" w14:textId="77777777" w:rsidR="002F663C" w:rsidRPr="002F663C" w:rsidRDefault="001733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85152" w14:paraId="6008F544" w14:textId="77777777" w:rsidTr="00E9471B">
        <w:tc>
          <w:tcPr>
            <w:tcW w:w="851" w:type="dxa"/>
            <w:shd w:val="clear" w:color="auto" w:fill="auto"/>
          </w:tcPr>
          <w:p w14:paraId="466A0ADF" w14:textId="77777777" w:rsidR="002F663C" w:rsidRPr="00711F9C" w:rsidRDefault="0017334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D2FDB9D" w14:textId="77777777" w:rsidR="002F663C" w:rsidRPr="002F663C" w:rsidRDefault="001733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19 April 2024</w:t>
            </w:r>
            <w:bookmarkEnd w:id="10"/>
          </w:p>
        </w:tc>
      </w:tr>
      <w:tr w:rsidR="00885152" w14:paraId="431DE377" w14:textId="77777777" w:rsidTr="00E9471B">
        <w:tc>
          <w:tcPr>
            <w:tcW w:w="851" w:type="dxa"/>
            <w:shd w:val="clear" w:color="auto" w:fill="auto"/>
          </w:tcPr>
          <w:p w14:paraId="52B62CCF" w14:textId="77777777" w:rsidR="002F663C" w:rsidRPr="00711F9C" w:rsidRDefault="0017334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1E1EBC0" w14:textId="77777777" w:rsidR="002F663C" w:rsidRPr="002F663C" w:rsidRDefault="001733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20 May 2024</w:t>
            </w:r>
            <w:bookmarkEnd w:id="12"/>
          </w:p>
        </w:tc>
      </w:tr>
      <w:tr w:rsidR="00885152" w14:paraId="79ECF9FF" w14:textId="77777777" w:rsidTr="00E9471B">
        <w:tc>
          <w:tcPr>
            <w:tcW w:w="851" w:type="dxa"/>
            <w:shd w:val="clear" w:color="auto" w:fill="auto"/>
          </w:tcPr>
          <w:p w14:paraId="6CAC2757" w14:textId="77777777" w:rsidR="002F663C" w:rsidRPr="00711F9C" w:rsidRDefault="0017334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36E3004" w14:textId="77777777" w:rsidR="002F663C" w:rsidRPr="002F663C" w:rsidRDefault="0017334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534C339" w14:textId="77777777" w:rsidR="002F663C" w:rsidRPr="002F663C" w:rsidRDefault="00173342" w:rsidP="00EB7B40">
            <w:pPr>
              <w:spacing w:before="120" w:after="120"/>
              <w:rPr>
                <w:rFonts w:eastAsia="Calibri" w:cs="Times New Roman"/>
              </w:rPr>
            </w:pPr>
            <w:r w:rsidRPr="002F663C">
              <w:rPr>
                <w:rFonts w:eastAsia="Calibri" w:cs="Times New Roman"/>
              </w:rPr>
              <w:t>89 Federal Register (FR) 28604, Title 16 Code of Federal Regulations (CFR) Part 1700:</w:t>
            </w:r>
          </w:p>
          <w:p w14:paraId="64323D44" w14:textId="77777777" w:rsidR="002F663C" w:rsidRPr="002F663C" w:rsidRDefault="002D6CC3" w:rsidP="00EB7B40">
            <w:pPr>
              <w:spacing w:before="120" w:after="120"/>
              <w:rPr>
                <w:rFonts w:eastAsia="Calibri" w:cs="Times New Roman"/>
              </w:rPr>
            </w:pPr>
            <w:hyperlink r:id="rId9" w:tgtFrame="_blank" w:history="1">
              <w:r w:rsidR="00173342" w:rsidRPr="002F663C">
                <w:rPr>
                  <w:rFonts w:eastAsia="Calibri" w:cs="Times New Roman"/>
                  <w:color w:val="0000FF"/>
                  <w:u w:val="single"/>
                </w:rPr>
                <w:t>https://www.govinfo.gov/content/pkg/FR-2024-04-19/html/2024-07651.htm</w:t>
              </w:r>
            </w:hyperlink>
          </w:p>
          <w:p w14:paraId="7665588E" w14:textId="77777777" w:rsidR="002F663C" w:rsidRPr="002F663C" w:rsidRDefault="002D6CC3" w:rsidP="00EB7B40">
            <w:pPr>
              <w:spacing w:before="120" w:after="120"/>
              <w:rPr>
                <w:rFonts w:eastAsia="Calibri" w:cs="Times New Roman"/>
              </w:rPr>
            </w:pPr>
            <w:hyperlink r:id="rId10" w:tgtFrame="_blank" w:history="1">
              <w:r w:rsidR="00173342" w:rsidRPr="002F663C">
                <w:rPr>
                  <w:rFonts w:eastAsia="Calibri" w:cs="Times New Roman"/>
                  <w:color w:val="0000FF"/>
                  <w:u w:val="single"/>
                </w:rPr>
                <w:t>https://www.govinfo.gov/content/pkg/FR-2024-04-19/pdf/2024-07651.pdf</w:t>
              </w:r>
            </w:hyperlink>
          </w:p>
          <w:p w14:paraId="29032D48" w14:textId="77777777" w:rsidR="002F663C" w:rsidRPr="002F663C" w:rsidRDefault="002D6CC3" w:rsidP="00EB7B40">
            <w:pPr>
              <w:spacing w:before="120" w:after="120"/>
              <w:rPr>
                <w:rFonts w:eastAsia="Calibri" w:cs="Times New Roman"/>
              </w:rPr>
            </w:pPr>
            <w:hyperlink r:id="rId11" w:tgtFrame="_blank" w:history="1">
              <w:r w:rsidR="00173342" w:rsidRPr="002F663C">
                <w:rPr>
                  <w:rFonts w:eastAsia="Calibri" w:cs="Times New Roman"/>
                  <w:color w:val="0000FF"/>
                  <w:u w:val="single"/>
                </w:rPr>
                <w:t>https://members.wto.org/crnattachments/2024/TBT/USA/final_measure/24_02740_00_e.pdf</w:t>
              </w:r>
            </w:hyperlink>
            <w:bookmarkEnd w:id="15"/>
          </w:p>
        </w:tc>
      </w:tr>
      <w:tr w:rsidR="00885152" w14:paraId="5F64A0E7" w14:textId="77777777" w:rsidTr="00E9471B">
        <w:tc>
          <w:tcPr>
            <w:tcW w:w="851" w:type="dxa"/>
            <w:shd w:val="clear" w:color="auto" w:fill="auto"/>
          </w:tcPr>
          <w:p w14:paraId="133F997C" w14:textId="77777777" w:rsidR="002F663C" w:rsidRPr="00711F9C" w:rsidRDefault="0017334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9EFE89E" w14:textId="77777777" w:rsidR="002F663C" w:rsidRPr="002F663C" w:rsidRDefault="0017334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3BB9C36" w14:textId="77777777" w:rsidR="002F663C" w:rsidRPr="002F663C" w:rsidRDefault="0017334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85152" w14:paraId="0ED9A132" w14:textId="77777777" w:rsidTr="00E9471B">
        <w:tc>
          <w:tcPr>
            <w:tcW w:w="851" w:type="dxa"/>
            <w:shd w:val="clear" w:color="auto" w:fill="auto"/>
          </w:tcPr>
          <w:p w14:paraId="327D9D3A" w14:textId="77777777" w:rsidR="002F663C" w:rsidRPr="00711F9C" w:rsidRDefault="0017334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80595B6" w14:textId="77777777" w:rsidR="002F663C" w:rsidRPr="002F663C" w:rsidRDefault="0017334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94D2037" w14:textId="77777777" w:rsidR="002F663C" w:rsidRPr="002F663C" w:rsidRDefault="0017334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85152" w14:paraId="2E194578" w14:textId="77777777" w:rsidTr="00E9471B">
        <w:tc>
          <w:tcPr>
            <w:tcW w:w="851" w:type="dxa"/>
            <w:shd w:val="clear" w:color="auto" w:fill="auto"/>
          </w:tcPr>
          <w:p w14:paraId="4E09AC04" w14:textId="77777777" w:rsidR="002F663C" w:rsidRPr="00711F9C" w:rsidRDefault="0017334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418FFC6" w14:textId="77777777" w:rsidR="002F663C" w:rsidRPr="002F663C" w:rsidRDefault="0017334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85152" w14:paraId="2A0FED1C" w14:textId="77777777" w:rsidTr="00E9471B">
        <w:tc>
          <w:tcPr>
            <w:tcW w:w="851" w:type="dxa"/>
            <w:tcBorders>
              <w:bottom w:val="double" w:sz="4" w:space="0" w:color="auto"/>
            </w:tcBorders>
            <w:shd w:val="clear" w:color="auto" w:fill="auto"/>
          </w:tcPr>
          <w:p w14:paraId="1A8ACDB6" w14:textId="77777777" w:rsidR="002F663C" w:rsidRPr="00711F9C" w:rsidRDefault="0017334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A026CAC" w14:textId="77777777" w:rsidR="002F663C" w:rsidRPr="002F663C" w:rsidRDefault="0017334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00810DB" w14:textId="77777777" w:rsidR="002F663C" w:rsidRPr="002F663C" w:rsidRDefault="002F663C" w:rsidP="002F663C">
      <w:pPr>
        <w:jc w:val="left"/>
        <w:rPr>
          <w:rFonts w:eastAsia="Calibri" w:cs="Times New Roman"/>
          <w:highlight w:val="yellow"/>
        </w:rPr>
      </w:pPr>
    </w:p>
    <w:p w14:paraId="107B788E" w14:textId="77777777" w:rsidR="003971FF" w:rsidRPr="007F6EA2" w:rsidRDefault="0017334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Consumer Product Safety Commission (Commission or CPSC) is amending the child-resistant packaging requirements of CPSC's regulation to exempt </w:t>
      </w:r>
      <w:proofErr w:type="spellStart"/>
      <w:r w:rsidRPr="002F663C">
        <w:rPr>
          <w:rFonts w:eastAsia="Calibri" w:cs="Times New Roman"/>
          <w:szCs w:val="18"/>
        </w:rPr>
        <w:t>baloxavir</w:t>
      </w:r>
      <w:proofErr w:type="spellEnd"/>
      <w:r w:rsidRPr="002F663C">
        <w:rPr>
          <w:rFonts w:eastAsia="Calibri" w:cs="Times New Roman"/>
          <w:szCs w:val="18"/>
        </w:rPr>
        <w:t xml:space="preserve"> </w:t>
      </w:r>
      <w:proofErr w:type="spellStart"/>
      <w:r w:rsidRPr="002F663C">
        <w:rPr>
          <w:rFonts w:eastAsia="Calibri" w:cs="Times New Roman"/>
          <w:szCs w:val="18"/>
        </w:rPr>
        <w:t>marboxil</w:t>
      </w:r>
      <w:proofErr w:type="spellEnd"/>
      <w:r w:rsidRPr="002F663C">
        <w:rPr>
          <w:rFonts w:eastAsia="Calibri" w:cs="Times New Roman"/>
          <w:szCs w:val="18"/>
        </w:rPr>
        <w:t xml:space="preserve"> tablets, currently marketed as </w:t>
      </w:r>
      <w:proofErr w:type="spellStart"/>
      <w:r w:rsidRPr="002F663C">
        <w:rPr>
          <w:rFonts w:eastAsia="Calibri" w:cs="Times New Roman"/>
          <w:szCs w:val="18"/>
        </w:rPr>
        <w:t>XOFLUZATM</w:t>
      </w:r>
      <w:proofErr w:type="spellEnd"/>
      <w:r w:rsidRPr="002F663C">
        <w:rPr>
          <w:rFonts w:eastAsia="Calibri" w:cs="Times New Roman"/>
          <w:szCs w:val="18"/>
        </w:rPr>
        <w:t xml:space="preserve">, in packages containing not more than 80 mg of the drug, from the special packaging requirements. </w:t>
      </w:r>
      <w:proofErr w:type="spellStart"/>
      <w:r w:rsidRPr="002F663C">
        <w:rPr>
          <w:rFonts w:eastAsia="Calibri" w:cs="Times New Roman"/>
          <w:szCs w:val="18"/>
        </w:rPr>
        <w:t>XOFLUZA</w:t>
      </w:r>
      <w:proofErr w:type="spellEnd"/>
      <w:r w:rsidRPr="002F663C">
        <w:rPr>
          <w:rFonts w:eastAsia="Calibri" w:cs="Times New Roman"/>
          <w:szCs w:val="18"/>
        </w:rPr>
        <w:t xml:space="preserve"> is used to treat the flu, and the drug is taken in one dose within 48 hours of experiencing flu symptoms. The final rule exempts this prescription drug product on the basis that child-resistant packaging is not needed to protect young children from </w:t>
      </w:r>
      <w:r w:rsidRPr="002F663C">
        <w:rPr>
          <w:rFonts w:eastAsia="Calibri" w:cs="Times New Roman"/>
          <w:szCs w:val="18"/>
        </w:rPr>
        <w:lastRenderedPageBreak/>
        <w:t>serious injury or illness because the product is not acutely toxic and lacks adverse human experience associated with ingestion.</w:t>
      </w:r>
    </w:p>
    <w:p w14:paraId="6BCC8EA3" w14:textId="77777777" w:rsidR="00037820" w:rsidRPr="002F663C" w:rsidRDefault="00173342" w:rsidP="00B16ACF">
      <w:pPr>
        <w:spacing w:before="120" w:after="120"/>
        <w:rPr>
          <w:rFonts w:eastAsia="Calibri" w:cs="Times New Roman"/>
          <w:szCs w:val="18"/>
        </w:rPr>
      </w:pPr>
      <w:r w:rsidRPr="002F663C">
        <w:rPr>
          <w:rFonts w:eastAsia="Calibri" w:cs="Times New Roman"/>
          <w:szCs w:val="18"/>
        </w:rPr>
        <w:t>The rule is effective 20 May 2024.</w:t>
      </w:r>
    </w:p>
    <w:p w14:paraId="2189061E" w14:textId="77777777" w:rsidR="00037820" w:rsidRPr="002F663C" w:rsidRDefault="002D6CC3" w:rsidP="00B16ACF">
      <w:pPr>
        <w:spacing w:before="120" w:after="120"/>
        <w:rPr>
          <w:rFonts w:eastAsia="Calibri" w:cs="Times New Roman"/>
          <w:szCs w:val="18"/>
        </w:rPr>
      </w:pPr>
      <w:hyperlink r:id="rId12" w:history="1">
        <w:r w:rsidR="00173342" w:rsidRPr="002F663C">
          <w:rPr>
            <w:rFonts w:eastAsia="Calibri" w:cs="Times New Roman"/>
            <w:color w:val="0000FF"/>
            <w:szCs w:val="18"/>
            <w:u w:val="single"/>
          </w:rPr>
          <w:t>Title 16 Code of Federal Regulations (CFR) Part 1700</w:t>
        </w:r>
      </w:hyperlink>
    </w:p>
    <w:p w14:paraId="20BC6CF7" w14:textId="77777777" w:rsidR="00037820" w:rsidRPr="002F663C" w:rsidRDefault="00173342"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notified as </w:t>
      </w:r>
      <w:hyperlink r:id="rId13" w:history="1">
        <w:r w:rsidRPr="002F663C">
          <w:rPr>
            <w:rFonts w:eastAsia="Calibri" w:cs="Times New Roman"/>
            <w:color w:val="0000FF"/>
            <w:szCs w:val="18"/>
            <w:u w:val="single"/>
          </w:rPr>
          <w:t>G/TBT/N/USA/1777</w:t>
        </w:r>
      </w:hyperlink>
      <w:r w:rsidRPr="002F663C">
        <w:rPr>
          <w:rFonts w:eastAsia="Calibri" w:cs="Times New Roman"/>
          <w:szCs w:val="18"/>
        </w:rPr>
        <w:t xml:space="preserve"> are identified by Docket Number CPSC-2021-0027. The Docket Folder is available from Regulations.gov at </w:t>
      </w:r>
      <w:hyperlink r:id="rId14" w:history="1">
        <w:r w:rsidRPr="002F663C">
          <w:rPr>
            <w:rFonts w:eastAsia="Calibri" w:cs="Times New Roman"/>
            <w:color w:val="0000FF"/>
            <w:szCs w:val="18"/>
            <w:u w:val="single"/>
          </w:rPr>
          <w:t>https://www.regulations.gov/docket/CPSC-2021-0027/document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7ACFED1" w14:textId="77777777" w:rsidR="006C5A96" w:rsidRDefault="00173342" w:rsidP="006C5A96">
      <w:pPr>
        <w:jc w:val="center"/>
        <w:rPr>
          <w:b/>
        </w:rPr>
      </w:pPr>
      <w:r w:rsidRPr="003971FF">
        <w:rPr>
          <w:b/>
        </w:rPr>
        <w:t>__________</w:t>
      </w:r>
    </w:p>
    <w:p w14:paraId="42B895E1" w14:textId="77777777" w:rsidR="004D4D19" w:rsidRDefault="004D4D19" w:rsidP="007F38C2">
      <w:pPr>
        <w:jc w:val="center"/>
        <w:rPr>
          <w:b/>
        </w:rPr>
      </w:pPr>
    </w:p>
    <w:p w14:paraId="3E5ABF9E"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5393" w14:textId="77777777" w:rsidR="00173342" w:rsidRDefault="00173342">
      <w:r>
        <w:separator/>
      </w:r>
    </w:p>
  </w:endnote>
  <w:endnote w:type="continuationSeparator" w:id="0">
    <w:p w14:paraId="3C5A2453" w14:textId="77777777" w:rsidR="00173342" w:rsidRDefault="0017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7629" w14:textId="77777777" w:rsidR="00544326" w:rsidRPr="00DD3DD7" w:rsidRDefault="0017334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1DCF" w14:textId="77777777" w:rsidR="00544326" w:rsidRPr="00DD3DD7" w:rsidRDefault="0017334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000D" w14:textId="77777777" w:rsidR="000248E6" w:rsidRDefault="00173342" w:rsidP="00ED54E0">
      <w:r>
        <w:separator/>
      </w:r>
    </w:p>
  </w:footnote>
  <w:footnote w:type="continuationSeparator" w:id="0">
    <w:p w14:paraId="040C07BC" w14:textId="77777777" w:rsidR="000248E6" w:rsidRDefault="00173342" w:rsidP="00ED54E0">
      <w:r>
        <w:continuationSeparator/>
      </w:r>
    </w:p>
  </w:footnote>
  <w:footnote w:id="1">
    <w:p w14:paraId="1AA74D84" w14:textId="77777777" w:rsidR="007F6EA2" w:rsidRDefault="0017334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647C" w14:textId="77777777" w:rsidR="00DD3DD7" w:rsidRDefault="0017334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2758DD6" w14:textId="77777777" w:rsidR="004D4D19" w:rsidRPr="00DD3DD7" w:rsidRDefault="004D4D19" w:rsidP="00DD3DD7">
    <w:pPr>
      <w:pStyle w:val="Header"/>
      <w:pBdr>
        <w:bottom w:val="single" w:sz="4" w:space="1" w:color="auto"/>
      </w:pBdr>
      <w:tabs>
        <w:tab w:val="clear" w:pos="4513"/>
        <w:tab w:val="clear" w:pos="9027"/>
      </w:tabs>
      <w:jc w:val="center"/>
    </w:pPr>
  </w:p>
  <w:p w14:paraId="32CF2BB4" w14:textId="77777777" w:rsidR="00DD3DD7" w:rsidRPr="00DD3DD7" w:rsidRDefault="0017334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0CC5BE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88C8" w14:textId="77777777" w:rsidR="00DD3DD7" w:rsidRPr="00C33E2A" w:rsidRDefault="00173342" w:rsidP="00DD3DD7">
    <w:pPr>
      <w:pStyle w:val="Header"/>
      <w:pBdr>
        <w:bottom w:val="single" w:sz="4" w:space="1" w:color="auto"/>
      </w:pBdr>
      <w:tabs>
        <w:tab w:val="clear" w:pos="4513"/>
        <w:tab w:val="clear" w:pos="9027"/>
      </w:tabs>
      <w:jc w:val="center"/>
      <w:rPr>
        <w:lang w:val="es-ES"/>
      </w:rPr>
    </w:pPr>
    <w:bookmarkStart w:id="28" w:name="spsSymbolHeader"/>
    <w:r w:rsidRPr="00C33E2A">
      <w:rPr>
        <w:lang w:val="es-ES"/>
      </w:rPr>
      <w:t>G/TBT/N/USA/1777/Add.1</w:t>
    </w:r>
    <w:bookmarkEnd w:id="28"/>
  </w:p>
  <w:p w14:paraId="37353254" w14:textId="77777777" w:rsidR="00DD3DD7" w:rsidRPr="00C33E2A" w:rsidRDefault="00DD3DD7" w:rsidP="00DD3DD7">
    <w:pPr>
      <w:pStyle w:val="Header"/>
      <w:pBdr>
        <w:bottom w:val="single" w:sz="4" w:space="1" w:color="auto"/>
      </w:pBdr>
      <w:tabs>
        <w:tab w:val="clear" w:pos="4513"/>
        <w:tab w:val="clear" w:pos="9027"/>
      </w:tabs>
      <w:jc w:val="center"/>
      <w:rPr>
        <w:lang w:val="es-ES"/>
      </w:rPr>
    </w:pPr>
  </w:p>
  <w:p w14:paraId="0ED899E9" w14:textId="77777777" w:rsidR="00DD3DD7" w:rsidRPr="00DD3DD7" w:rsidRDefault="0017334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695278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5152" w14:paraId="49D33A05" w14:textId="77777777" w:rsidTr="00544326">
      <w:trPr>
        <w:trHeight w:val="240"/>
        <w:jc w:val="center"/>
      </w:trPr>
      <w:tc>
        <w:tcPr>
          <w:tcW w:w="3794" w:type="dxa"/>
          <w:shd w:val="clear" w:color="auto" w:fill="FFFFFF"/>
          <w:tcMar>
            <w:left w:w="108" w:type="dxa"/>
            <w:right w:w="108" w:type="dxa"/>
          </w:tcMar>
          <w:vAlign w:val="center"/>
        </w:tcPr>
        <w:p w14:paraId="6778DE6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2F91CD1" w14:textId="77777777" w:rsidR="00ED54E0" w:rsidRPr="00182B84" w:rsidRDefault="00173342" w:rsidP="00425DC5">
          <w:pPr>
            <w:jc w:val="right"/>
            <w:rPr>
              <w:b/>
              <w:color w:val="FF0000"/>
              <w:szCs w:val="16"/>
            </w:rPr>
          </w:pPr>
          <w:r>
            <w:rPr>
              <w:b/>
              <w:color w:val="FF0000"/>
              <w:szCs w:val="16"/>
            </w:rPr>
            <w:t xml:space="preserve"> </w:t>
          </w:r>
        </w:p>
      </w:tc>
    </w:tr>
    <w:tr w:rsidR="00885152" w14:paraId="4D12B1EE" w14:textId="77777777" w:rsidTr="00544326">
      <w:trPr>
        <w:trHeight w:val="213"/>
        <w:jc w:val="center"/>
      </w:trPr>
      <w:tc>
        <w:tcPr>
          <w:tcW w:w="3794" w:type="dxa"/>
          <w:vMerge w:val="restart"/>
          <w:shd w:val="clear" w:color="auto" w:fill="FFFFFF"/>
          <w:tcMar>
            <w:left w:w="0" w:type="dxa"/>
            <w:right w:w="0" w:type="dxa"/>
          </w:tcMar>
        </w:tcPr>
        <w:p w14:paraId="47659F38" w14:textId="77777777" w:rsidR="00ED54E0" w:rsidRPr="00182B84" w:rsidRDefault="00173342" w:rsidP="00425DC5">
          <w:pPr>
            <w:jc w:val="left"/>
          </w:pPr>
          <w:r w:rsidRPr="00182B84">
            <w:rPr>
              <w:noProof/>
              <w:lang w:val="en-US"/>
            </w:rPr>
            <w:drawing>
              <wp:inline distT="0" distB="0" distL="0" distR="0" wp14:anchorId="42F99F91" wp14:editId="7D6B5BA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740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99F32C" w14:textId="77777777" w:rsidR="00ED54E0" w:rsidRPr="00182B84" w:rsidRDefault="00ED54E0" w:rsidP="00425DC5">
          <w:pPr>
            <w:jc w:val="right"/>
            <w:rPr>
              <w:b/>
              <w:szCs w:val="16"/>
            </w:rPr>
          </w:pPr>
        </w:p>
      </w:tc>
    </w:tr>
    <w:tr w:rsidR="00885152" w:rsidRPr="002D6CC3" w14:paraId="7F0CB202" w14:textId="77777777" w:rsidTr="00544326">
      <w:trPr>
        <w:trHeight w:val="868"/>
        <w:jc w:val="center"/>
      </w:trPr>
      <w:tc>
        <w:tcPr>
          <w:tcW w:w="3794" w:type="dxa"/>
          <w:vMerge/>
          <w:shd w:val="clear" w:color="auto" w:fill="FFFFFF"/>
          <w:tcMar>
            <w:left w:w="108" w:type="dxa"/>
            <w:right w:w="108" w:type="dxa"/>
          </w:tcMar>
        </w:tcPr>
        <w:p w14:paraId="6140D43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F1A639B" w14:textId="77777777" w:rsidR="00DD3DD7" w:rsidRPr="00C33E2A" w:rsidRDefault="00173342" w:rsidP="00DD3DD7">
          <w:pPr>
            <w:jc w:val="right"/>
            <w:rPr>
              <w:rFonts w:eastAsia="Calibri" w:cs="Times New Roman"/>
              <w:b/>
              <w:szCs w:val="16"/>
              <w:lang w:val="es-ES"/>
            </w:rPr>
          </w:pPr>
          <w:bookmarkStart w:id="29" w:name="bmkSymbols"/>
          <w:r w:rsidRPr="00C33E2A">
            <w:rPr>
              <w:rFonts w:eastAsia="Calibri" w:cs="Times New Roman"/>
              <w:b/>
              <w:szCs w:val="16"/>
              <w:lang w:val="es-ES"/>
            </w:rPr>
            <w:t>G/TBT/N/USA/1777/Add.1</w:t>
          </w:r>
          <w:bookmarkEnd w:id="29"/>
        </w:p>
        <w:p w14:paraId="026BDD12" w14:textId="77777777" w:rsidR="00C14444" w:rsidRPr="00C33E2A" w:rsidRDefault="00C14444" w:rsidP="00C14444">
          <w:pPr>
            <w:jc w:val="center"/>
            <w:rPr>
              <w:szCs w:val="16"/>
              <w:lang w:val="es-ES"/>
            </w:rPr>
          </w:pPr>
        </w:p>
      </w:tc>
    </w:tr>
    <w:tr w:rsidR="00885152" w:rsidRPr="00C33E2A" w14:paraId="31D5A6F5" w14:textId="77777777" w:rsidTr="00544326">
      <w:trPr>
        <w:trHeight w:val="240"/>
        <w:jc w:val="center"/>
      </w:trPr>
      <w:tc>
        <w:tcPr>
          <w:tcW w:w="3794" w:type="dxa"/>
          <w:vMerge/>
          <w:shd w:val="clear" w:color="auto" w:fill="FFFFFF"/>
          <w:tcMar>
            <w:left w:w="108" w:type="dxa"/>
            <w:right w:w="108" w:type="dxa"/>
          </w:tcMar>
          <w:vAlign w:val="center"/>
        </w:tcPr>
        <w:p w14:paraId="2515F8F5" w14:textId="77777777" w:rsidR="00ED54E0" w:rsidRPr="00C33E2A" w:rsidRDefault="00ED54E0" w:rsidP="00425DC5">
          <w:pPr>
            <w:rPr>
              <w:lang w:val="es-ES"/>
            </w:rPr>
          </w:pPr>
        </w:p>
      </w:tc>
      <w:tc>
        <w:tcPr>
          <w:tcW w:w="5448" w:type="dxa"/>
          <w:gridSpan w:val="2"/>
          <w:shd w:val="clear" w:color="auto" w:fill="FFFFFF"/>
          <w:tcMar>
            <w:left w:w="108" w:type="dxa"/>
            <w:right w:w="108" w:type="dxa"/>
          </w:tcMar>
          <w:vAlign w:val="center"/>
        </w:tcPr>
        <w:p w14:paraId="56FC8DB8" w14:textId="3132A28C" w:rsidR="00ED54E0" w:rsidRPr="00C33E2A" w:rsidRDefault="00C33E2A" w:rsidP="00425DC5">
          <w:pPr>
            <w:jc w:val="right"/>
            <w:rPr>
              <w:szCs w:val="16"/>
            </w:rPr>
          </w:pPr>
          <w:bookmarkStart w:id="30" w:name="bmkDate"/>
          <w:bookmarkEnd w:id="30"/>
          <w:r>
            <w:rPr>
              <w:szCs w:val="16"/>
            </w:rPr>
            <w:t>23 April 2024</w:t>
          </w:r>
        </w:p>
      </w:tc>
    </w:tr>
    <w:tr w:rsidR="00885152" w14:paraId="3418839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72DA0C" w14:textId="2C106783" w:rsidR="00ED54E0" w:rsidRPr="00182B84" w:rsidRDefault="00173342" w:rsidP="00425DC5">
          <w:pPr>
            <w:jc w:val="left"/>
            <w:rPr>
              <w:b/>
            </w:rPr>
          </w:pPr>
          <w:r w:rsidRPr="002F663C">
            <w:rPr>
              <w:rFonts w:eastAsia="Calibri" w:cs="Times New Roman"/>
              <w:color w:val="FF0000"/>
              <w:szCs w:val="16"/>
            </w:rPr>
            <w:t>(</w:t>
          </w:r>
          <w:bookmarkStart w:id="31" w:name="bmkSerial"/>
          <w:bookmarkEnd w:id="31"/>
          <w:r w:rsidR="00C33E2A">
            <w:rPr>
              <w:rFonts w:eastAsia="Calibri" w:cs="Times New Roman"/>
              <w:color w:val="FF0000"/>
              <w:szCs w:val="16"/>
            </w:rPr>
            <w:t>24-</w:t>
          </w:r>
          <w:r w:rsidR="002D6CC3">
            <w:rPr>
              <w:rFonts w:eastAsia="Calibri" w:cs="Times New Roman"/>
              <w:color w:val="FF0000"/>
              <w:szCs w:val="16"/>
            </w:rPr>
            <w:t>3326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D23DE6C" w14:textId="77777777" w:rsidR="00ED54E0" w:rsidRPr="00182B84" w:rsidRDefault="0017334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85152" w14:paraId="5B32C95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7E0896" w14:textId="77777777" w:rsidR="00ED54E0" w:rsidRPr="00182B84" w:rsidRDefault="0017334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D1C2136" w14:textId="77777777" w:rsidR="00ED54E0" w:rsidRPr="00182B84" w:rsidRDefault="0017334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663F03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CAFB30">
      <w:start w:val="1"/>
      <w:numFmt w:val="decimal"/>
      <w:pStyle w:val="SummaryText"/>
      <w:lvlText w:val="%1."/>
      <w:lvlJc w:val="left"/>
      <w:pPr>
        <w:ind w:left="360" w:hanging="360"/>
      </w:pPr>
    </w:lvl>
    <w:lvl w:ilvl="1" w:tplc="08C6D246" w:tentative="1">
      <w:start w:val="1"/>
      <w:numFmt w:val="lowerLetter"/>
      <w:lvlText w:val="%2."/>
      <w:lvlJc w:val="left"/>
      <w:pPr>
        <w:ind w:left="1080" w:hanging="360"/>
      </w:pPr>
    </w:lvl>
    <w:lvl w:ilvl="2" w:tplc="4E0A4EFE" w:tentative="1">
      <w:start w:val="1"/>
      <w:numFmt w:val="lowerRoman"/>
      <w:lvlText w:val="%3."/>
      <w:lvlJc w:val="right"/>
      <w:pPr>
        <w:ind w:left="1800" w:hanging="180"/>
      </w:pPr>
    </w:lvl>
    <w:lvl w:ilvl="3" w:tplc="B6B034B4" w:tentative="1">
      <w:start w:val="1"/>
      <w:numFmt w:val="decimal"/>
      <w:lvlText w:val="%4."/>
      <w:lvlJc w:val="left"/>
      <w:pPr>
        <w:ind w:left="2520" w:hanging="360"/>
      </w:pPr>
    </w:lvl>
    <w:lvl w:ilvl="4" w:tplc="5BB243FA" w:tentative="1">
      <w:start w:val="1"/>
      <w:numFmt w:val="lowerLetter"/>
      <w:lvlText w:val="%5."/>
      <w:lvlJc w:val="left"/>
      <w:pPr>
        <w:ind w:left="3240" w:hanging="360"/>
      </w:pPr>
    </w:lvl>
    <w:lvl w:ilvl="5" w:tplc="630665BA" w:tentative="1">
      <w:start w:val="1"/>
      <w:numFmt w:val="lowerRoman"/>
      <w:lvlText w:val="%6."/>
      <w:lvlJc w:val="right"/>
      <w:pPr>
        <w:ind w:left="3960" w:hanging="180"/>
      </w:pPr>
    </w:lvl>
    <w:lvl w:ilvl="6" w:tplc="1A766DEE" w:tentative="1">
      <w:start w:val="1"/>
      <w:numFmt w:val="decimal"/>
      <w:lvlText w:val="%7."/>
      <w:lvlJc w:val="left"/>
      <w:pPr>
        <w:ind w:left="4680" w:hanging="360"/>
      </w:pPr>
    </w:lvl>
    <w:lvl w:ilvl="7" w:tplc="E69C818E" w:tentative="1">
      <w:start w:val="1"/>
      <w:numFmt w:val="lowerLetter"/>
      <w:lvlText w:val="%8."/>
      <w:lvlJc w:val="left"/>
      <w:pPr>
        <w:ind w:left="5400" w:hanging="360"/>
      </w:pPr>
    </w:lvl>
    <w:lvl w:ilvl="8" w:tplc="CA887A22" w:tentative="1">
      <w:start w:val="1"/>
      <w:numFmt w:val="lowerRoman"/>
      <w:lvlText w:val="%9."/>
      <w:lvlJc w:val="right"/>
      <w:pPr>
        <w:ind w:left="6120" w:hanging="180"/>
      </w:pPr>
    </w:lvl>
  </w:abstractNum>
  <w:num w:numId="1" w16cid:durableId="214390887">
    <w:abstractNumId w:val="9"/>
  </w:num>
  <w:num w:numId="2" w16cid:durableId="1287783558">
    <w:abstractNumId w:val="7"/>
  </w:num>
  <w:num w:numId="3" w16cid:durableId="1916893541">
    <w:abstractNumId w:val="6"/>
  </w:num>
  <w:num w:numId="4" w16cid:durableId="1373841141">
    <w:abstractNumId w:val="5"/>
  </w:num>
  <w:num w:numId="5" w16cid:durableId="253711681">
    <w:abstractNumId w:val="4"/>
  </w:num>
  <w:num w:numId="6" w16cid:durableId="634146639">
    <w:abstractNumId w:val="12"/>
  </w:num>
  <w:num w:numId="7" w16cid:durableId="1664240075">
    <w:abstractNumId w:val="11"/>
  </w:num>
  <w:num w:numId="8" w16cid:durableId="1728920943">
    <w:abstractNumId w:val="10"/>
  </w:num>
  <w:num w:numId="9" w16cid:durableId="74796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3450468">
    <w:abstractNumId w:val="13"/>
  </w:num>
  <w:num w:numId="11" w16cid:durableId="1410806995">
    <w:abstractNumId w:val="8"/>
  </w:num>
  <w:num w:numId="12" w16cid:durableId="819034273">
    <w:abstractNumId w:val="3"/>
  </w:num>
  <w:num w:numId="13" w16cid:durableId="1038778061">
    <w:abstractNumId w:val="2"/>
  </w:num>
  <w:num w:numId="14" w16cid:durableId="1866363794">
    <w:abstractNumId w:val="1"/>
  </w:num>
  <w:num w:numId="15" w16cid:durableId="695423309">
    <w:abstractNumId w:val="0"/>
  </w:num>
  <w:num w:numId="16" w16cid:durableId="146527032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820"/>
    <w:rsid w:val="00037AC4"/>
    <w:rsid w:val="000423BF"/>
    <w:rsid w:val="00043ECC"/>
    <w:rsid w:val="000539E2"/>
    <w:rsid w:val="000700FF"/>
    <w:rsid w:val="00082727"/>
    <w:rsid w:val="000923D1"/>
    <w:rsid w:val="000A0633"/>
    <w:rsid w:val="000A4945"/>
    <w:rsid w:val="000A5283"/>
    <w:rsid w:val="000B31E1"/>
    <w:rsid w:val="000C5214"/>
    <w:rsid w:val="000E0D08"/>
    <w:rsid w:val="000F3D39"/>
    <w:rsid w:val="001120DB"/>
    <w:rsid w:val="0011356B"/>
    <w:rsid w:val="00124403"/>
    <w:rsid w:val="0013337F"/>
    <w:rsid w:val="0013637D"/>
    <w:rsid w:val="001642F0"/>
    <w:rsid w:val="00173342"/>
    <w:rsid w:val="00175DD6"/>
    <w:rsid w:val="00182B84"/>
    <w:rsid w:val="001C2A9D"/>
    <w:rsid w:val="001E291F"/>
    <w:rsid w:val="001E2E4A"/>
    <w:rsid w:val="00223DA8"/>
    <w:rsid w:val="00233408"/>
    <w:rsid w:val="00265A0E"/>
    <w:rsid w:val="0027067B"/>
    <w:rsid w:val="00281997"/>
    <w:rsid w:val="002B2435"/>
    <w:rsid w:val="002B2F95"/>
    <w:rsid w:val="002D6CC3"/>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85152"/>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3E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1777"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cfr.gov/current/title-16/chapter-II/subchapter-E/part-1700?toc=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740_00_e.pdf"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s://www.govinfo.gov/content/pkg/FR-2024-04-19/pdf/2024-07651.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info.gov/content/pkg/FR-2024-04-19/html/2024-07651.htm" TargetMode="External"/><Relationship Id="rId14" Type="http://schemas.openxmlformats.org/officeDocument/2006/relationships/hyperlink" Target="https://www.regulations.gov/docket/CPSC-2021-0027/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68F8-1EA5-4C24-B146-BD720F6E195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328</Words>
  <Characters>2051</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2024-04-22T16:05:00Z</dcterms:created>
  <dcterms:modified xsi:type="dcterms:W3CDTF">2024-04-23T06:47:00Z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