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78C9" w:rsidRDefault="007A1939" w:rsidP="00DD3DD7">
      <w:pPr>
        <w:pStyle w:val="Title"/>
      </w:pPr>
      <w:r w:rsidRPr="002F663C">
        <w:t>NOTIFICATION</w:t>
      </w:r>
    </w:p>
    <w:p w:rsidR="002F663C" w:rsidRPr="002F663C" w:rsidRDefault="007A1939" w:rsidP="00DD3DD7">
      <w:pPr>
        <w:pStyle w:val="Title3"/>
      </w:pPr>
      <w:r w:rsidRPr="002F663C">
        <w:t>Addendum</w:t>
      </w:r>
    </w:p>
    <w:p w:rsidR="002F663C" w:rsidRDefault="007A1939"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4 April 2024</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rsidR="001E2E4A" w:rsidRPr="002F663C" w:rsidRDefault="001E2E4A" w:rsidP="001E2E4A">
      <w:pPr>
        <w:rPr>
          <w:rFonts w:eastAsia="Calibri" w:cs="Times New Roman"/>
        </w:rPr>
      </w:pPr>
    </w:p>
    <w:p w:rsidR="002F663C" w:rsidRPr="002F663C" w:rsidRDefault="007A1939" w:rsidP="002F663C">
      <w:pPr>
        <w:jc w:val="center"/>
        <w:rPr>
          <w:rFonts w:eastAsia="Calibri" w:cs="Times New Roman"/>
          <w:b/>
        </w:rPr>
      </w:pPr>
      <w:r w:rsidRPr="002F663C">
        <w:rPr>
          <w:rFonts w:eastAsia="Calibri" w:cs="Times New Roman"/>
          <w:b/>
        </w:rPr>
        <w:t>_______________</w:t>
      </w:r>
    </w:p>
    <w:p w:rsidR="002F663C" w:rsidRDefault="002F663C" w:rsidP="002F663C">
      <w:pPr>
        <w:rPr>
          <w:rFonts w:eastAsia="Calibri" w:cs="Times New Roman"/>
        </w:rPr>
      </w:pPr>
    </w:p>
    <w:p w:rsidR="00C14444" w:rsidRPr="002F663C" w:rsidRDefault="00C14444" w:rsidP="002F663C">
      <w:pPr>
        <w:rPr>
          <w:rFonts w:eastAsia="Calibri" w:cs="Times New Roman"/>
        </w:rPr>
      </w:pPr>
    </w:p>
    <w:p w:rsidR="002F663C" w:rsidRPr="002F663C" w:rsidRDefault="007A1939"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 xml:space="preserve">Energy </w:t>
      </w:r>
      <w:proofErr w:type="spellStart"/>
      <w:r w:rsidRPr="00022513">
        <w:rPr>
          <w:rFonts w:eastAsia="Calibri" w:cs="Times New Roman"/>
          <w:bCs/>
          <w:szCs w:val="18"/>
        </w:rPr>
        <w:t>Labeling</w:t>
      </w:r>
      <w:proofErr w:type="spellEnd"/>
      <w:r w:rsidRPr="00022513">
        <w:rPr>
          <w:rFonts w:eastAsia="Calibri" w:cs="Times New Roman"/>
          <w:bCs/>
          <w:szCs w:val="18"/>
        </w:rPr>
        <w:t xml:space="preserve"> Rule: Extension of Comment Period</w:t>
      </w:r>
      <w:bookmarkEnd w:id="3"/>
    </w:p>
    <w:p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C12C7D"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rsidR="002F663C" w:rsidRPr="002F663C" w:rsidRDefault="007A1939"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C12C7D" w:rsidTr="00E9471B">
        <w:tc>
          <w:tcPr>
            <w:tcW w:w="851" w:type="dxa"/>
            <w:shd w:val="clear" w:color="auto" w:fill="auto"/>
          </w:tcPr>
          <w:p w:rsidR="002F663C" w:rsidRPr="00711F9C" w:rsidRDefault="007A1939"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X</w:t>
            </w:r>
            <w:bookmarkEnd w:id="5"/>
            <w:r w:rsidRPr="00711F9C">
              <w:rPr>
                <w:rFonts w:eastAsia="Calibri" w:cs="Times New Roman"/>
                <w:szCs w:val="18"/>
              </w:rPr>
              <w:t>]</w:t>
            </w:r>
          </w:p>
        </w:tc>
        <w:tc>
          <w:tcPr>
            <w:tcW w:w="8198" w:type="dxa"/>
            <w:shd w:val="clear" w:color="auto" w:fill="auto"/>
          </w:tcPr>
          <w:p w:rsidR="002F663C" w:rsidRPr="002F663C" w:rsidRDefault="007A1939"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r w:rsidR="001642F0">
              <w:rPr>
                <w:rFonts w:eastAsia="Calibri" w:cs="Times New Roman"/>
              </w:rPr>
              <w:t>19 April 2024; The Federal Trade Commission ("FTC" or "Commission") is extending the deadline for filing comments on its Notice of Proposed Rulemaking ("</w:t>
            </w:r>
            <w:proofErr w:type="spellStart"/>
            <w:r w:rsidR="001642F0">
              <w:rPr>
                <w:rFonts w:eastAsia="Calibri" w:cs="Times New Roman"/>
              </w:rPr>
              <w:t>NPRM</w:t>
            </w:r>
            <w:proofErr w:type="spellEnd"/>
            <w:r w:rsidR="001642F0">
              <w:rPr>
                <w:rFonts w:eastAsia="Calibri" w:cs="Times New Roman"/>
              </w:rPr>
              <w:t xml:space="preserve">") regarding the Energy </w:t>
            </w:r>
            <w:proofErr w:type="spellStart"/>
            <w:r w:rsidR="001642F0">
              <w:rPr>
                <w:rFonts w:eastAsia="Calibri" w:cs="Times New Roman"/>
              </w:rPr>
              <w:t>Labeling</w:t>
            </w:r>
            <w:proofErr w:type="spellEnd"/>
            <w:r w:rsidR="001642F0">
              <w:rPr>
                <w:rFonts w:eastAsia="Calibri" w:cs="Times New Roman"/>
              </w:rPr>
              <w:t xml:space="preserve"> Rule.</w:t>
            </w:r>
          </w:p>
          <w:p w:rsidR="001642F0" w:rsidRDefault="007A1939" w:rsidP="00EB7B40">
            <w:pPr>
              <w:spacing w:before="60" w:after="60"/>
              <w:rPr>
                <w:rFonts w:eastAsia="Calibri" w:cs="Times New Roman"/>
              </w:rPr>
            </w:pPr>
            <w:r>
              <w:rPr>
                <w:rFonts w:eastAsia="Calibri" w:cs="Times New Roman"/>
              </w:rPr>
              <w:t>Federal Register Volume 89, Number 64 (Tuesday, 2 April 2024)</w:t>
            </w:r>
          </w:p>
          <w:p w:rsidR="001642F0" w:rsidRDefault="009550FE" w:rsidP="00EB7B40">
            <w:pPr>
              <w:spacing w:before="60" w:after="60"/>
              <w:rPr>
                <w:rFonts w:eastAsia="Calibri" w:cs="Times New Roman"/>
              </w:rPr>
            </w:pPr>
            <w:hyperlink r:id="rId9" w:tgtFrame="_blank" w:history="1">
              <w:r w:rsidR="007A1939">
                <w:rPr>
                  <w:rFonts w:eastAsia="Calibri" w:cs="Times New Roman"/>
                  <w:color w:val="0000FF"/>
                  <w:u w:val="single"/>
                </w:rPr>
                <w:t>https://www.govinfo.gov/content/pkg/FR-2024-04-02/html/2024-07077.htm</w:t>
              </w:r>
            </w:hyperlink>
          </w:p>
          <w:p w:rsidR="001642F0" w:rsidRDefault="009550FE" w:rsidP="00EB7B40">
            <w:pPr>
              <w:spacing w:before="60" w:after="60"/>
              <w:rPr>
                <w:rFonts w:eastAsia="Calibri" w:cs="Times New Roman"/>
              </w:rPr>
            </w:pPr>
            <w:hyperlink r:id="rId10" w:tgtFrame="_blank" w:history="1">
              <w:r w:rsidR="007A1939">
                <w:rPr>
                  <w:rFonts w:eastAsia="Calibri" w:cs="Times New Roman"/>
                  <w:color w:val="0000FF"/>
                  <w:u w:val="single"/>
                </w:rPr>
                <w:t>https://www.govinfo.gov/content/pkg/FR-2024-04-02/pdf/2024-07077.pdf</w:t>
              </w:r>
            </w:hyperlink>
            <w:bookmarkEnd w:id="6"/>
          </w:p>
        </w:tc>
      </w:tr>
      <w:tr w:rsidR="00C12C7D" w:rsidTr="00E9471B">
        <w:tc>
          <w:tcPr>
            <w:tcW w:w="851" w:type="dxa"/>
            <w:shd w:val="clear" w:color="auto" w:fill="auto"/>
          </w:tcPr>
          <w:p w:rsidR="002F663C" w:rsidRPr="00711F9C" w:rsidRDefault="007A1939"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rsidR="002F663C" w:rsidRPr="002F663C" w:rsidRDefault="007A1939"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C12C7D" w:rsidTr="00E9471B">
        <w:tc>
          <w:tcPr>
            <w:tcW w:w="851" w:type="dxa"/>
            <w:shd w:val="clear" w:color="auto" w:fill="auto"/>
          </w:tcPr>
          <w:p w:rsidR="002F663C" w:rsidRPr="00711F9C" w:rsidRDefault="007A1939"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 </w:t>
            </w:r>
            <w:bookmarkEnd w:id="9"/>
            <w:r w:rsidRPr="00711F9C">
              <w:rPr>
                <w:rFonts w:eastAsia="Calibri" w:cs="Times New Roman"/>
                <w:szCs w:val="18"/>
              </w:rPr>
              <w:t>]</w:t>
            </w:r>
          </w:p>
        </w:tc>
        <w:tc>
          <w:tcPr>
            <w:tcW w:w="8198" w:type="dxa"/>
            <w:shd w:val="clear" w:color="auto" w:fill="auto"/>
          </w:tcPr>
          <w:p w:rsidR="002F663C" w:rsidRPr="002F663C" w:rsidRDefault="007A1939"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bookmarkEnd w:id="10"/>
          </w:p>
        </w:tc>
      </w:tr>
      <w:tr w:rsidR="00C12C7D" w:rsidTr="00E9471B">
        <w:tc>
          <w:tcPr>
            <w:tcW w:w="851" w:type="dxa"/>
            <w:shd w:val="clear" w:color="auto" w:fill="auto"/>
          </w:tcPr>
          <w:p w:rsidR="002F663C" w:rsidRPr="00711F9C" w:rsidRDefault="007A1939"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 </w:t>
            </w:r>
            <w:bookmarkEnd w:id="11"/>
            <w:r w:rsidRPr="00711F9C">
              <w:rPr>
                <w:rFonts w:eastAsia="Calibri" w:cs="Times New Roman"/>
                <w:szCs w:val="18"/>
              </w:rPr>
              <w:t>]</w:t>
            </w:r>
          </w:p>
        </w:tc>
        <w:tc>
          <w:tcPr>
            <w:tcW w:w="8198" w:type="dxa"/>
            <w:shd w:val="clear" w:color="auto" w:fill="auto"/>
          </w:tcPr>
          <w:p w:rsidR="002F663C" w:rsidRPr="002F663C" w:rsidRDefault="007A1939"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bookmarkEnd w:id="12"/>
          </w:p>
        </w:tc>
      </w:tr>
      <w:tr w:rsidR="00C12C7D" w:rsidTr="00E9471B">
        <w:tc>
          <w:tcPr>
            <w:tcW w:w="851" w:type="dxa"/>
            <w:shd w:val="clear" w:color="auto" w:fill="auto"/>
          </w:tcPr>
          <w:p w:rsidR="002F663C" w:rsidRPr="00711F9C" w:rsidRDefault="007A1939"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 </w:t>
            </w:r>
            <w:bookmarkEnd w:id="13"/>
            <w:r w:rsidRPr="00711F9C">
              <w:rPr>
                <w:rFonts w:eastAsia="Calibri" w:cs="Times New Roman"/>
                <w:szCs w:val="18"/>
              </w:rPr>
              <w:t>]</w:t>
            </w:r>
          </w:p>
        </w:tc>
        <w:tc>
          <w:tcPr>
            <w:tcW w:w="8198" w:type="dxa"/>
            <w:shd w:val="clear" w:color="auto" w:fill="auto"/>
          </w:tcPr>
          <w:p w:rsidR="002F663C" w:rsidRPr="002F663C" w:rsidRDefault="007A1939"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FootnoteReference"/>
                <w:rFonts w:eastAsia="Calibri" w:cs="Times New Roman"/>
              </w:rPr>
              <w:footnoteReference w:id="1"/>
            </w:r>
            <w:bookmarkEnd w:id="14"/>
            <w:r w:rsidRPr="002F663C">
              <w:rPr>
                <w:rFonts w:eastAsia="Calibri" w:cs="Times New Roman"/>
              </w:rPr>
              <w:t xml:space="preserve">: </w:t>
            </w:r>
            <w:bookmarkStart w:id="15" w:name="bmkFinalMeasure"/>
            <w:bookmarkEnd w:id="15"/>
          </w:p>
        </w:tc>
      </w:tr>
      <w:tr w:rsidR="00C12C7D" w:rsidTr="00E9471B">
        <w:tc>
          <w:tcPr>
            <w:tcW w:w="851" w:type="dxa"/>
            <w:shd w:val="clear" w:color="auto" w:fill="auto"/>
          </w:tcPr>
          <w:p w:rsidR="002F663C" w:rsidRPr="00711F9C" w:rsidRDefault="007A1939"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rsidR="002F663C" w:rsidRPr="002F663C" w:rsidRDefault="007A1939"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rsidR="002F663C" w:rsidRPr="002F663C" w:rsidRDefault="007A1939"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C12C7D" w:rsidTr="00E9471B">
        <w:tc>
          <w:tcPr>
            <w:tcW w:w="851" w:type="dxa"/>
            <w:shd w:val="clear" w:color="auto" w:fill="auto"/>
          </w:tcPr>
          <w:p w:rsidR="002F663C" w:rsidRPr="00711F9C" w:rsidRDefault="007A1939"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rsidR="002F663C" w:rsidRPr="002F663C" w:rsidRDefault="007A1939"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rsidR="002F663C" w:rsidRPr="002F663C" w:rsidRDefault="007A1939"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C12C7D" w:rsidTr="00E9471B">
        <w:tc>
          <w:tcPr>
            <w:tcW w:w="851" w:type="dxa"/>
            <w:shd w:val="clear" w:color="auto" w:fill="auto"/>
          </w:tcPr>
          <w:p w:rsidR="002F663C" w:rsidRPr="00711F9C" w:rsidRDefault="007A1939"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rsidR="002F663C" w:rsidRPr="002F663C" w:rsidRDefault="007A1939"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C12C7D" w:rsidTr="00E9471B">
        <w:tc>
          <w:tcPr>
            <w:tcW w:w="851" w:type="dxa"/>
            <w:tcBorders>
              <w:bottom w:val="double" w:sz="4" w:space="0" w:color="auto"/>
            </w:tcBorders>
            <w:shd w:val="clear" w:color="auto" w:fill="auto"/>
          </w:tcPr>
          <w:p w:rsidR="002F663C" w:rsidRPr="00711F9C" w:rsidRDefault="007A1939"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rsidR="002F663C" w:rsidRPr="002F663C" w:rsidRDefault="007A1939"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rsidR="002F663C" w:rsidRPr="002F663C" w:rsidRDefault="002F663C" w:rsidP="002F663C">
      <w:pPr>
        <w:jc w:val="left"/>
        <w:rPr>
          <w:rFonts w:eastAsia="Calibri" w:cs="Times New Roman"/>
          <w:highlight w:val="yellow"/>
        </w:rPr>
      </w:pPr>
    </w:p>
    <w:p w:rsidR="003971FF" w:rsidRPr="007F6EA2" w:rsidRDefault="007A1939"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On 2 February 2024 (</w:t>
      </w:r>
      <w:hyperlink r:id="rId11" w:history="1">
        <w:r w:rsidRPr="002F663C">
          <w:rPr>
            <w:rFonts w:eastAsia="Calibri" w:cs="Times New Roman"/>
            <w:color w:val="0000FF"/>
            <w:szCs w:val="18"/>
            <w:u w:val="single"/>
          </w:rPr>
          <w:t>89 FR 7566</w:t>
        </w:r>
      </w:hyperlink>
      <w:r w:rsidRPr="002F663C">
        <w:rPr>
          <w:rFonts w:eastAsia="Calibri" w:cs="Times New Roman"/>
          <w:szCs w:val="18"/>
        </w:rPr>
        <w:t xml:space="preserve">), the Commission published in the Federal Register an </w:t>
      </w:r>
      <w:proofErr w:type="spellStart"/>
      <w:r w:rsidRPr="002F663C">
        <w:rPr>
          <w:rFonts w:eastAsia="Calibri" w:cs="Times New Roman"/>
          <w:szCs w:val="18"/>
        </w:rPr>
        <w:t>NPRM</w:t>
      </w:r>
      <w:proofErr w:type="spellEnd"/>
      <w:r w:rsidRPr="002F663C">
        <w:rPr>
          <w:rFonts w:eastAsia="Calibri" w:cs="Times New Roman"/>
          <w:szCs w:val="18"/>
        </w:rPr>
        <w:t xml:space="preserve"> concerning the Energy </w:t>
      </w:r>
      <w:proofErr w:type="spellStart"/>
      <w:r w:rsidRPr="002F663C">
        <w:rPr>
          <w:rFonts w:eastAsia="Calibri" w:cs="Times New Roman"/>
          <w:szCs w:val="18"/>
        </w:rPr>
        <w:t>Labeling</w:t>
      </w:r>
      <w:proofErr w:type="spellEnd"/>
      <w:r w:rsidRPr="002F663C">
        <w:rPr>
          <w:rFonts w:eastAsia="Calibri" w:cs="Times New Roman"/>
          <w:szCs w:val="18"/>
        </w:rPr>
        <w:t xml:space="preserve"> Rule ("Rule"), with a comment deadline of 2 April 2024. The Commission published the </w:t>
      </w:r>
      <w:proofErr w:type="spellStart"/>
      <w:r w:rsidRPr="002F663C">
        <w:rPr>
          <w:rFonts w:eastAsia="Calibri" w:cs="Times New Roman"/>
          <w:szCs w:val="18"/>
        </w:rPr>
        <w:t>NPRM</w:t>
      </w:r>
      <w:proofErr w:type="spellEnd"/>
      <w:r w:rsidRPr="002F663C">
        <w:rPr>
          <w:rFonts w:eastAsia="Calibri" w:cs="Times New Roman"/>
          <w:szCs w:val="18"/>
        </w:rPr>
        <w:t xml:space="preserve"> to seek public comments on potential changes to the Rule, including: (1) labels for air cleaners, clothes dryers, miscellaneous refrigeration products, and portable electric spas; (2) modifications to existing labels for clothes washers, televisions, and several heating products; (3) revisions to the current requirements for affixing labels on showroom models; and (4) several minor amendments to improve the Rule. The Consumer Technology Association ("CTA"), representing interested industry members, has subsequently requested a 17-day extension of the public comment period in order to complete consumer research which it intends to submit in this proceeding. No commenters have objected to CTA's request.</w:t>
      </w:r>
    </w:p>
    <w:p w:rsidR="001E58E3" w:rsidRPr="002F663C" w:rsidRDefault="007A1939" w:rsidP="00B16ACF">
      <w:pPr>
        <w:spacing w:before="120" w:after="120"/>
        <w:rPr>
          <w:rFonts w:eastAsia="Calibri" w:cs="Times New Roman"/>
          <w:szCs w:val="18"/>
        </w:rPr>
      </w:pPr>
      <w:r w:rsidRPr="002F663C">
        <w:rPr>
          <w:rFonts w:eastAsia="Calibri" w:cs="Times New Roman"/>
          <w:szCs w:val="18"/>
        </w:rPr>
        <w:lastRenderedPageBreak/>
        <w:t xml:space="preserve">The Commission agrees that allowing additional time for filing comments in response to the </w:t>
      </w:r>
      <w:proofErr w:type="spellStart"/>
      <w:r w:rsidRPr="002F663C">
        <w:rPr>
          <w:rFonts w:eastAsia="Calibri" w:cs="Times New Roman"/>
          <w:szCs w:val="18"/>
        </w:rPr>
        <w:t>NPRM</w:t>
      </w:r>
      <w:proofErr w:type="spellEnd"/>
      <w:r w:rsidRPr="002F663C">
        <w:rPr>
          <w:rFonts w:eastAsia="Calibri" w:cs="Times New Roman"/>
          <w:szCs w:val="18"/>
        </w:rPr>
        <w:t xml:space="preserve"> would help facilitate the creation of a more complete record. Given the short duration of the extension, the specificity of the request, and the lack of opposition to such an extension, the Commission has therefore decided to extend the comment period to 19 April 2024. This extension will provide CTA adequate time to complete its consumer research.</w:t>
      </w:r>
    </w:p>
    <w:p w:rsidR="001E58E3" w:rsidRPr="002F663C" w:rsidRDefault="007A1939" w:rsidP="00B16ACF">
      <w:pPr>
        <w:spacing w:before="120" w:after="120"/>
        <w:rPr>
          <w:rFonts w:eastAsia="Calibri" w:cs="Times New Roman"/>
          <w:szCs w:val="18"/>
        </w:rPr>
      </w:pPr>
      <w:r w:rsidRPr="002F663C">
        <w:rPr>
          <w:rFonts w:eastAsia="Calibri" w:cs="Times New Roman"/>
          <w:szCs w:val="18"/>
        </w:rPr>
        <w:t xml:space="preserve">This comment extension is identified by Docket Number FTC-2024-0008. The Docket Folder is available on Regulations.gov at </w:t>
      </w:r>
      <w:hyperlink r:id="rId12" w:history="1">
        <w:r w:rsidRPr="002F663C">
          <w:rPr>
            <w:rFonts w:eastAsia="Calibri" w:cs="Times New Roman"/>
            <w:color w:val="0000FF"/>
            <w:szCs w:val="18"/>
            <w:u w:val="single"/>
          </w:rPr>
          <w:t>https://www.regulations.gov/docket/FTC-2024-0008/document</w:t>
        </w:r>
      </w:hyperlink>
      <w:r w:rsidRPr="002F663C">
        <w:rPr>
          <w:rFonts w:eastAsia="Calibri" w:cs="Times New Roman"/>
          <w:szCs w:val="18"/>
        </w:rPr>
        <w:t xml:space="preserve"> and provides access to primary documents as well as comments received. Documents are also accessible from </w:t>
      </w:r>
      <w:hyperlink r:id="rId13"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WTO Members and their stakeholders are asked to submit comments to the </w:t>
      </w:r>
      <w:hyperlink r:id="rId14" w:history="1">
        <w:r w:rsidRPr="002F663C">
          <w:rPr>
            <w:rFonts w:eastAsia="Calibri" w:cs="Times New Roman"/>
            <w:color w:val="0000FF"/>
            <w:szCs w:val="18"/>
            <w:u w:val="single"/>
          </w:rPr>
          <w:t>USA TBT Enquiry Point</w:t>
        </w:r>
      </w:hyperlink>
      <w:r w:rsidRPr="002F663C">
        <w:rPr>
          <w:rFonts w:eastAsia="Calibri" w:cs="Times New Roman"/>
          <w:szCs w:val="18"/>
        </w:rPr>
        <w:t xml:space="preserve"> by or before </w:t>
      </w:r>
      <w:hyperlink r:id="rId15" w:history="1">
        <w:r w:rsidRPr="002F663C">
          <w:rPr>
            <w:rFonts w:eastAsia="Calibri" w:cs="Times New Roman"/>
            <w:color w:val="0000FF"/>
            <w:szCs w:val="18"/>
            <w:u w:val="single"/>
          </w:rPr>
          <w:t>4pm</w:t>
        </w:r>
      </w:hyperlink>
      <w:r w:rsidRPr="002F663C">
        <w:rPr>
          <w:rFonts w:eastAsia="Calibri" w:cs="Times New Roman"/>
          <w:szCs w:val="18"/>
        </w:rPr>
        <w:t xml:space="preserve"> </w:t>
      </w:r>
      <w:hyperlink r:id="rId16" w:history="1">
        <w:r w:rsidRPr="002F663C">
          <w:rPr>
            <w:rFonts w:eastAsia="Calibri" w:cs="Times New Roman"/>
            <w:color w:val="0000FF"/>
            <w:szCs w:val="18"/>
            <w:u w:val="single"/>
          </w:rPr>
          <w:t>Eastern Time</w:t>
        </w:r>
      </w:hyperlink>
      <w:r w:rsidRPr="002F663C">
        <w:rPr>
          <w:rFonts w:eastAsia="Calibri" w:cs="Times New Roman"/>
          <w:szCs w:val="18"/>
        </w:rPr>
        <w:t xml:space="preserve"> on 19 April 2024. Comments received by the USA TBT Enquiry Point from WTO Members and their stakeholders will be shared with FTC and will also be submitted to the </w:t>
      </w:r>
      <w:hyperlink r:id="rId17" w:history="1">
        <w:r w:rsidRPr="002F663C">
          <w:rPr>
            <w:rFonts w:eastAsia="Calibri" w:cs="Times New Roman"/>
            <w:color w:val="0000FF"/>
            <w:szCs w:val="18"/>
            <w:u w:val="single"/>
          </w:rPr>
          <w:t>Docket</w:t>
        </w:r>
      </w:hyperlink>
      <w:r w:rsidRPr="002F663C">
        <w:rPr>
          <w:rFonts w:eastAsia="Calibri" w:cs="Times New Roman"/>
          <w:szCs w:val="18"/>
        </w:rPr>
        <w:t xml:space="preserve"> on Regulations.gov if received within the comment period.</w:t>
      </w:r>
      <w:bookmarkEnd w:id="26"/>
    </w:p>
    <w:p w:rsidR="006C5A96" w:rsidRDefault="007A1939" w:rsidP="006C5A96">
      <w:pPr>
        <w:jc w:val="center"/>
        <w:rPr>
          <w:b/>
        </w:rPr>
      </w:pPr>
      <w:r w:rsidRPr="003971FF">
        <w:rPr>
          <w:b/>
        </w:rPr>
        <w:t>__________</w:t>
      </w:r>
    </w:p>
    <w:p w:rsidR="004D4D19" w:rsidRDefault="004D4D19" w:rsidP="007F38C2">
      <w:pPr>
        <w:jc w:val="center"/>
        <w:rPr>
          <w:b/>
        </w:rPr>
      </w:pPr>
    </w:p>
    <w:p w:rsidR="00A1565D" w:rsidRDefault="00A1565D" w:rsidP="003971FF">
      <w:pPr>
        <w:jc w:val="center"/>
        <w:rPr>
          <w:b/>
        </w:rPr>
      </w:pPr>
    </w:p>
    <w:sectPr w:rsidR="00A1565D" w:rsidSect="006C5A96">
      <w:headerReference w:type="even" r:id="rId18"/>
      <w:headerReference w:type="default" r:id="rId19"/>
      <w:footerReference w:type="even" r:id="rId20"/>
      <w:footerReference w:type="default" r:id="rId21"/>
      <w:headerReference w:type="first" r:id="rId22"/>
      <w:footerReference w:type="first" r:id="rId23"/>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1939" w:rsidRDefault="007A1939">
      <w:r>
        <w:separator/>
      </w:r>
    </w:p>
  </w:endnote>
  <w:endnote w:type="continuationSeparator" w:id="0">
    <w:p w:rsidR="007A1939" w:rsidRDefault="007A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4326" w:rsidRPr="00DD3DD7" w:rsidRDefault="007A1939"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4326" w:rsidRPr="00DD3DD7" w:rsidRDefault="007A1939" w:rsidP="00DD3DD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1939" w:rsidRDefault="007A1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248E6" w:rsidRDefault="007A1939" w:rsidP="00ED54E0">
      <w:r>
        <w:separator/>
      </w:r>
    </w:p>
  </w:footnote>
  <w:footnote w:type="continuationSeparator" w:id="0">
    <w:p w:rsidR="000248E6" w:rsidRDefault="007A1939" w:rsidP="00ED54E0">
      <w:r>
        <w:continuationSeparator/>
      </w:r>
    </w:p>
  </w:footnote>
  <w:footnote w:id="1">
    <w:p w:rsidR="007F6EA2" w:rsidRDefault="007A1939">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3DD7" w:rsidRDefault="007A1939" w:rsidP="00DD3DD7">
    <w:pPr>
      <w:pStyle w:val="Header"/>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rsidR="004D4D19" w:rsidRPr="00DD3DD7" w:rsidRDefault="004D4D19" w:rsidP="00DD3DD7">
    <w:pPr>
      <w:pStyle w:val="Header"/>
      <w:pBdr>
        <w:bottom w:val="single" w:sz="4" w:space="1" w:color="auto"/>
      </w:pBdr>
      <w:tabs>
        <w:tab w:val="clear" w:pos="4513"/>
        <w:tab w:val="clear" w:pos="9027"/>
      </w:tabs>
      <w:jc w:val="center"/>
    </w:pPr>
  </w:p>
  <w:p w:rsidR="00DD3DD7" w:rsidRPr="00DD3DD7" w:rsidRDefault="007A1939"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D3DD7" w:rsidRPr="00DD3DD7" w:rsidRDefault="007A1939" w:rsidP="00DD3DD7">
    <w:pPr>
      <w:pStyle w:val="Header"/>
      <w:pBdr>
        <w:bottom w:val="single" w:sz="4" w:space="1" w:color="auto"/>
      </w:pBdr>
      <w:tabs>
        <w:tab w:val="clear" w:pos="4513"/>
        <w:tab w:val="clear" w:pos="9027"/>
      </w:tabs>
      <w:jc w:val="center"/>
    </w:pPr>
    <w:bookmarkStart w:id="28" w:name="spsSymbolHeader"/>
    <w:r w:rsidRPr="00DD3DD7">
      <w:t>G/TBT/N/USA/2097/Add.1</w:t>
    </w:r>
    <w:bookmarkEnd w:id="28"/>
  </w:p>
  <w:p w:rsidR="00DD3DD7" w:rsidRPr="00DD3DD7" w:rsidRDefault="00DD3DD7" w:rsidP="00DD3DD7">
    <w:pPr>
      <w:pStyle w:val="Header"/>
      <w:pBdr>
        <w:bottom w:val="single" w:sz="4" w:space="1" w:color="auto"/>
      </w:pBdr>
      <w:tabs>
        <w:tab w:val="clear" w:pos="4513"/>
        <w:tab w:val="clear" w:pos="9027"/>
      </w:tabs>
      <w:jc w:val="center"/>
    </w:pPr>
  </w:p>
  <w:p w:rsidR="00DD3DD7" w:rsidRPr="00DD3DD7" w:rsidRDefault="007A1939"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C12C7D" w:rsidTr="00544326">
      <w:trPr>
        <w:trHeight w:val="240"/>
        <w:jc w:val="center"/>
      </w:trPr>
      <w:tc>
        <w:tcPr>
          <w:tcW w:w="3794" w:type="dxa"/>
          <w:shd w:val="clear" w:color="auto" w:fill="FFFFFF"/>
          <w:tcMar>
            <w:left w:w="108" w:type="dxa"/>
            <w:right w:w="108" w:type="dxa"/>
          </w:tcMar>
          <w:vAlign w:val="center"/>
        </w:tcPr>
        <w:p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rsidR="00ED54E0" w:rsidRPr="00182B84" w:rsidRDefault="007A1939" w:rsidP="00425DC5">
          <w:pPr>
            <w:jc w:val="right"/>
            <w:rPr>
              <w:b/>
              <w:color w:val="FF0000"/>
              <w:szCs w:val="16"/>
            </w:rPr>
          </w:pPr>
          <w:r>
            <w:rPr>
              <w:b/>
              <w:color w:val="FF0000"/>
              <w:szCs w:val="16"/>
            </w:rPr>
            <w:t xml:space="preserve"> </w:t>
          </w:r>
        </w:p>
      </w:tc>
    </w:tr>
    <w:tr w:rsidR="00C12C7D" w:rsidTr="00544326">
      <w:trPr>
        <w:trHeight w:val="213"/>
        <w:jc w:val="center"/>
      </w:trPr>
      <w:tc>
        <w:tcPr>
          <w:tcW w:w="3794" w:type="dxa"/>
          <w:vMerge w:val="restart"/>
          <w:shd w:val="clear" w:color="auto" w:fill="FFFFFF"/>
          <w:tcMar>
            <w:left w:w="0" w:type="dxa"/>
            <w:right w:w="0" w:type="dxa"/>
          </w:tcMar>
        </w:tcPr>
        <w:p w:rsidR="00ED54E0" w:rsidRPr="00182B84" w:rsidRDefault="007A1939" w:rsidP="00425DC5">
          <w:pPr>
            <w:jc w:val="left"/>
          </w:pPr>
          <w:r w:rsidRPr="00182B84">
            <w:rPr>
              <w:noProof/>
              <w:lang w:val="en-US"/>
            </w:rPr>
            <w:drawing>
              <wp:inline distT="0" distB="0" distL="0" distR="0">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21363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182B84" w:rsidRDefault="00ED54E0" w:rsidP="00425DC5">
          <w:pPr>
            <w:jc w:val="right"/>
            <w:rPr>
              <w:b/>
              <w:szCs w:val="16"/>
            </w:rPr>
          </w:pPr>
        </w:p>
      </w:tc>
    </w:tr>
    <w:tr w:rsidR="00C12C7D" w:rsidTr="00544326">
      <w:trPr>
        <w:trHeight w:val="868"/>
        <w:jc w:val="center"/>
      </w:trPr>
      <w:tc>
        <w:tcPr>
          <w:tcW w:w="3794" w:type="dxa"/>
          <w:vMerge/>
          <w:shd w:val="clear" w:color="auto" w:fill="FFFFFF"/>
          <w:tcMar>
            <w:left w:w="108" w:type="dxa"/>
            <w:right w:w="108" w:type="dxa"/>
          </w:tcMar>
        </w:tcPr>
        <w:p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rsidR="00DD3DD7" w:rsidRPr="002F663C" w:rsidRDefault="007A1939" w:rsidP="00DD3DD7">
          <w:pPr>
            <w:jc w:val="right"/>
            <w:rPr>
              <w:rFonts w:eastAsia="Calibri" w:cs="Times New Roman"/>
              <w:b/>
              <w:szCs w:val="16"/>
            </w:rPr>
          </w:pPr>
          <w:bookmarkStart w:id="29" w:name="bmkSymbols"/>
          <w:r w:rsidRPr="002F663C">
            <w:rPr>
              <w:rFonts w:eastAsia="Calibri" w:cs="Times New Roman"/>
              <w:b/>
              <w:szCs w:val="16"/>
            </w:rPr>
            <w:t>G/TBT/N/USA/2097/Add.1</w:t>
          </w:r>
          <w:bookmarkEnd w:id="29"/>
        </w:p>
        <w:p w:rsidR="00C14444" w:rsidRPr="00C14444" w:rsidRDefault="00C14444" w:rsidP="00C14444">
          <w:pPr>
            <w:jc w:val="center"/>
            <w:rPr>
              <w:szCs w:val="16"/>
            </w:rPr>
          </w:pPr>
        </w:p>
      </w:tc>
    </w:tr>
    <w:tr w:rsidR="00C12C7D" w:rsidTr="00544326">
      <w:trPr>
        <w:trHeight w:val="240"/>
        <w:jc w:val="center"/>
      </w:trPr>
      <w:tc>
        <w:tcPr>
          <w:tcW w:w="3794" w:type="dxa"/>
          <w:vMerge/>
          <w:shd w:val="clear" w:color="auto" w:fill="FFFFFF"/>
          <w:tcMar>
            <w:left w:w="108" w:type="dxa"/>
            <w:right w:w="108" w:type="dxa"/>
          </w:tcMar>
          <w:vAlign w:val="center"/>
        </w:tcPr>
        <w:p w:rsidR="00ED54E0" w:rsidRPr="00182B84" w:rsidRDefault="00ED54E0" w:rsidP="00425DC5"/>
      </w:tc>
      <w:tc>
        <w:tcPr>
          <w:tcW w:w="5448" w:type="dxa"/>
          <w:gridSpan w:val="2"/>
          <w:shd w:val="clear" w:color="auto" w:fill="FFFFFF"/>
          <w:tcMar>
            <w:left w:w="108" w:type="dxa"/>
            <w:right w:w="108" w:type="dxa"/>
          </w:tcMar>
          <w:vAlign w:val="center"/>
        </w:tcPr>
        <w:p w:rsidR="00ED54E0" w:rsidRPr="00182B84" w:rsidRDefault="007A1939" w:rsidP="00425DC5">
          <w:pPr>
            <w:jc w:val="right"/>
            <w:rPr>
              <w:szCs w:val="16"/>
            </w:rPr>
          </w:pPr>
          <w:bookmarkStart w:id="30" w:name="bmkDate"/>
          <w:bookmarkEnd w:id="30"/>
          <w:r>
            <w:rPr>
              <w:szCs w:val="16"/>
            </w:rPr>
            <w:t>4 April 2024</w:t>
          </w:r>
        </w:p>
      </w:tc>
    </w:tr>
    <w:tr w:rsidR="00C12C7D"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182B84" w:rsidRDefault="007A1939"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24-</w:t>
          </w:r>
          <w:r w:rsidR="009550FE">
            <w:rPr>
              <w:rFonts w:eastAsia="Calibri" w:cs="Times New Roman"/>
              <w:color w:val="FF0000"/>
              <w:szCs w:val="16"/>
            </w:rPr>
            <w:t>2899</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182B84" w:rsidRDefault="007A1939"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C12C7D"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182B84" w:rsidRDefault="007A1939"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rsidR="00ED54E0" w:rsidRPr="00182B84" w:rsidRDefault="007A1939"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D9AE6AB8">
      <w:start w:val="1"/>
      <w:numFmt w:val="decimal"/>
      <w:pStyle w:val="SummaryText"/>
      <w:lvlText w:val="%1."/>
      <w:lvlJc w:val="left"/>
      <w:pPr>
        <w:ind w:left="360" w:hanging="360"/>
      </w:pPr>
    </w:lvl>
    <w:lvl w:ilvl="1" w:tplc="73CCB27E" w:tentative="1">
      <w:start w:val="1"/>
      <w:numFmt w:val="lowerLetter"/>
      <w:lvlText w:val="%2."/>
      <w:lvlJc w:val="left"/>
      <w:pPr>
        <w:ind w:left="1080" w:hanging="360"/>
      </w:pPr>
    </w:lvl>
    <w:lvl w:ilvl="2" w:tplc="1578E6D4" w:tentative="1">
      <w:start w:val="1"/>
      <w:numFmt w:val="lowerRoman"/>
      <w:lvlText w:val="%3."/>
      <w:lvlJc w:val="right"/>
      <w:pPr>
        <w:ind w:left="1800" w:hanging="180"/>
      </w:pPr>
    </w:lvl>
    <w:lvl w:ilvl="3" w:tplc="E9C6F43C" w:tentative="1">
      <w:start w:val="1"/>
      <w:numFmt w:val="decimal"/>
      <w:lvlText w:val="%4."/>
      <w:lvlJc w:val="left"/>
      <w:pPr>
        <w:ind w:left="2520" w:hanging="360"/>
      </w:pPr>
    </w:lvl>
    <w:lvl w:ilvl="4" w:tplc="2F8A51B0" w:tentative="1">
      <w:start w:val="1"/>
      <w:numFmt w:val="lowerLetter"/>
      <w:lvlText w:val="%5."/>
      <w:lvlJc w:val="left"/>
      <w:pPr>
        <w:ind w:left="3240" w:hanging="360"/>
      </w:pPr>
    </w:lvl>
    <w:lvl w:ilvl="5" w:tplc="1EE0F380" w:tentative="1">
      <w:start w:val="1"/>
      <w:numFmt w:val="lowerRoman"/>
      <w:lvlText w:val="%6."/>
      <w:lvlJc w:val="right"/>
      <w:pPr>
        <w:ind w:left="3960" w:hanging="180"/>
      </w:pPr>
    </w:lvl>
    <w:lvl w:ilvl="6" w:tplc="1A2C5586" w:tentative="1">
      <w:start w:val="1"/>
      <w:numFmt w:val="decimal"/>
      <w:lvlText w:val="%7."/>
      <w:lvlJc w:val="left"/>
      <w:pPr>
        <w:ind w:left="4680" w:hanging="360"/>
      </w:pPr>
    </w:lvl>
    <w:lvl w:ilvl="7" w:tplc="7806EF14" w:tentative="1">
      <w:start w:val="1"/>
      <w:numFmt w:val="lowerLetter"/>
      <w:lvlText w:val="%8."/>
      <w:lvlJc w:val="left"/>
      <w:pPr>
        <w:ind w:left="5400" w:hanging="360"/>
      </w:pPr>
    </w:lvl>
    <w:lvl w:ilvl="8" w:tplc="9C2E22A2" w:tentative="1">
      <w:start w:val="1"/>
      <w:numFmt w:val="lowerRoman"/>
      <w:lvlText w:val="%9."/>
      <w:lvlJc w:val="right"/>
      <w:pPr>
        <w:ind w:left="6120" w:hanging="180"/>
      </w:pPr>
    </w:lvl>
  </w:abstractNum>
  <w:num w:numId="1" w16cid:durableId="1546215098">
    <w:abstractNumId w:val="9"/>
  </w:num>
  <w:num w:numId="2" w16cid:durableId="1527912056">
    <w:abstractNumId w:val="7"/>
  </w:num>
  <w:num w:numId="3" w16cid:durableId="1892495646">
    <w:abstractNumId w:val="6"/>
  </w:num>
  <w:num w:numId="4" w16cid:durableId="1666324398">
    <w:abstractNumId w:val="5"/>
  </w:num>
  <w:num w:numId="5" w16cid:durableId="1639921284">
    <w:abstractNumId w:val="4"/>
  </w:num>
  <w:num w:numId="6" w16cid:durableId="1796169962">
    <w:abstractNumId w:val="12"/>
  </w:num>
  <w:num w:numId="7" w16cid:durableId="1933077532">
    <w:abstractNumId w:val="11"/>
  </w:num>
  <w:num w:numId="8" w16cid:durableId="1687320948">
    <w:abstractNumId w:val="10"/>
  </w:num>
  <w:num w:numId="9" w16cid:durableId="50633399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5916965">
    <w:abstractNumId w:val="13"/>
  </w:num>
  <w:num w:numId="11" w16cid:durableId="250699640">
    <w:abstractNumId w:val="8"/>
  </w:num>
  <w:num w:numId="12" w16cid:durableId="1126318606">
    <w:abstractNumId w:val="3"/>
  </w:num>
  <w:num w:numId="13" w16cid:durableId="1989937284">
    <w:abstractNumId w:val="2"/>
  </w:num>
  <w:num w:numId="14" w16cid:durableId="1248467494">
    <w:abstractNumId w:val="1"/>
  </w:num>
  <w:num w:numId="15" w16cid:durableId="320085747">
    <w:abstractNumId w:val="0"/>
  </w:num>
  <w:num w:numId="16" w16cid:durableId="1645508553">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1E58E3"/>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A1939"/>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C42D2"/>
    <w:rsid w:val="008E2C13"/>
    <w:rsid w:val="008E372C"/>
    <w:rsid w:val="00917235"/>
    <w:rsid w:val="009550FE"/>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2C7D"/>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3E37"/>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8F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gulations.gov/"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regulations.gov/docket/FTC-2024-0008/document" TargetMode="External"/><Relationship Id="rId17" Type="http://schemas.openxmlformats.org/officeDocument/2006/relationships/hyperlink" Target="https://www.regulations.gov/docket/FTC-2024-0008/documen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24timezones.com/time-zone/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info.gov/content/pkg/FR-2024-02-02/html/2024-01601.ht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ime-time.net/times/time-zones/usa-canada/current-eastern-time-est.php" TargetMode="External"/><Relationship Id="rId23" Type="http://schemas.openxmlformats.org/officeDocument/2006/relationships/footer" Target="footer3.xml"/><Relationship Id="rId10" Type="http://schemas.openxmlformats.org/officeDocument/2006/relationships/hyperlink" Target="https://www.govinfo.gov/content/pkg/FR-2024-04-02/pdf/2024-07077.pdf"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www.govinfo.gov/content/pkg/FR-2024-04-02/html/2024-07077.htm" TargetMode="External"/><Relationship Id="rId14" Type="http://schemas.openxmlformats.org/officeDocument/2006/relationships/hyperlink" Target="mailto:usatbtep@nist.gov"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nzaleze\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dec036cc-94e5-415e-a5cf-6149de46aed8</TitusGUID>
  <TitusMetadata xmlns="">eyJucyI6Imh0dHA6XC9cL3d3dy50aXR1cy5jb21cL25zXC9Xb3JsZCBUcmFkZSBPcmdhbml6YXRpb24iLCJwcm9wcyI6W3sibiI6IldUT0NMQVNTSUZJQ0FUSU9OIiwidmFscyI6W3sidmFsdWUiOiJXVE8gT0ZGSUNJQUwifV19XX0=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E9F74-E099-4B7D-B919-B17AE4309B90}">
  <ds:schemaRefs>
    <ds:schemaRef ds:uri="http://schemas.titus.com/TitusProperties/"/>
    <ds:schemaRef ds:uri=""/>
  </ds:schemaRefs>
</ds:datastoreItem>
</file>

<file path=customXml/itemProps2.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470</Words>
  <Characters>2736</Characters>
  <Application>Microsoft Office Word</Application>
  <DocSecurity>0</DocSecurity>
  <Lines>62</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2024-04-04T08:37:00Z</dcterms:created>
  <dcterms:modified xsi:type="dcterms:W3CDTF">2024-04-04T09:11:00Z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