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209E" w14:textId="60FC44CD" w:rsidR="002D78C9" w:rsidRDefault="000051D7" w:rsidP="00DD3DD7">
      <w:pPr>
        <w:pStyle w:val="Titre"/>
      </w:pPr>
      <w:r w:rsidRPr="002F663C">
        <w:t>NOTIFICATION</w:t>
      </w:r>
    </w:p>
    <w:p w14:paraId="67594535" w14:textId="77777777" w:rsidR="002F663C" w:rsidRPr="002F663C" w:rsidRDefault="000051D7" w:rsidP="00DD3DD7">
      <w:pPr>
        <w:pStyle w:val="Title3"/>
      </w:pPr>
      <w:r w:rsidRPr="002F663C">
        <w:t>Addendum</w:t>
      </w:r>
    </w:p>
    <w:p w14:paraId="66C0ED2D" w14:textId="77777777" w:rsidR="002F663C" w:rsidRDefault="000051D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22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1257B8E8" w14:textId="77777777" w:rsidR="001E2E4A" w:rsidRPr="002F663C" w:rsidRDefault="001E2E4A" w:rsidP="001E2E4A">
      <w:pPr>
        <w:rPr>
          <w:rFonts w:eastAsia="Calibri" w:cs="Times New Roman"/>
        </w:rPr>
      </w:pPr>
    </w:p>
    <w:p w14:paraId="4A5D62CA" w14:textId="77777777" w:rsidR="002F663C" w:rsidRPr="002F663C" w:rsidRDefault="000051D7" w:rsidP="002F663C">
      <w:pPr>
        <w:jc w:val="center"/>
        <w:rPr>
          <w:rFonts w:eastAsia="Calibri" w:cs="Times New Roman"/>
          <w:b/>
        </w:rPr>
      </w:pPr>
      <w:r w:rsidRPr="002F663C">
        <w:rPr>
          <w:rFonts w:eastAsia="Calibri" w:cs="Times New Roman"/>
          <w:b/>
        </w:rPr>
        <w:t>_______________</w:t>
      </w:r>
    </w:p>
    <w:p w14:paraId="7BA3B64C" w14:textId="77777777" w:rsidR="002F663C" w:rsidRDefault="002F663C" w:rsidP="002F663C">
      <w:pPr>
        <w:rPr>
          <w:rFonts w:eastAsia="Calibri" w:cs="Times New Roman"/>
        </w:rPr>
      </w:pPr>
    </w:p>
    <w:p w14:paraId="5295766C" w14:textId="77777777" w:rsidR="00C14444" w:rsidRPr="002F663C" w:rsidRDefault="00C14444" w:rsidP="002F663C">
      <w:pPr>
        <w:rPr>
          <w:rFonts w:eastAsia="Calibri" w:cs="Times New Roman"/>
        </w:rPr>
      </w:pPr>
    </w:p>
    <w:p w14:paraId="4AECEDF7" w14:textId="77777777" w:rsidR="002F663C" w:rsidRPr="002F663C" w:rsidRDefault="000051D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Energy Conservation Program: Energy Conservation Standards for Consumer Conventional Cooking Products</w:t>
      </w:r>
    </w:p>
    <w:p w14:paraId="7E7209A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17E75" w14:paraId="696A69B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7EA0FBB" w14:textId="77777777" w:rsidR="002F663C" w:rsidRPr="002F663C" w:rsidRDefault="000051D7"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D17E75" w14:paraId="569BD167" w14:textId="77777777" w:rsidTr="00E9471B">
        <w:tc>
          <w:tcPr>
            <w:tcW w:w="851" w:type="dxa"/>
            <w:shd w:val="clear" w:color="auto" w:fill="auto"/>
          </w:tcPr>
          <w:p w14:paraId="3265E01B" w14:textId="77777777" w:rsidR="002F663C" w:rsidRPr="00711F9C" w:rsidRDefault="000051D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9532AC1" w14:textId="77777777" w:rsidR="002F663C" w:rsidRPr="002F663C" w:rsidRDefault="000051D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D17E75" w14:paraId="0A87EFC1" w14:textId="77777777" w:rsidTr="00E9471B">
        <w:tc>
          <w:tcPr>
            <w:tcW w:w="851" w:type="dxa"/>
            <w:shd w:val="clear" w:color="auto" w:fill="auto"/>
          </w:tcPr>
          <w:p w14:paraId="32BD4B76" w14:textId="77777777" w:rsidR="002F663C" w:rsidRPr="00711F9C" w:rsidRDefault="000051D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304CF0D" w14:textId="77777777" w:rsidR="002F663C" w:rsidRPr="002F663C" w:rsidRDefault="000051D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D17E75" w14:paraId="76479EA0" w14:textId="77777777" w:rsidTr="00E9471B">
        <w:tc>
          <w:tcPr>
            <w:tcW w:w="851" w:type="dxa"/>
            <w:shd w:val="clear" w:color="auto" w:fill="auto"/>
          </w:tcPr>
          <w:p w14:paraId="1C058446" w14:textId="77777777" w:rsidR="002F663C" w:rsidRPr="00711F9C" w:rsidRDefault="000051D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AB03E02" w14:textId="77777777" w:rsidR="002F663C" w:rsidRPr="002F663C" w:rsidRDefault="000051D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D17E75" w14:paraId="46759CB8" w14:textId="77777777" w:rsidTr="00E9471B">
        <w:tc>
          <w:tcPr>
            <w:tcW w:w="851" w:type="dxa"/>
            <w:shd w:val="clear" w:color="auto" w:fill="auto"/>
          </w:tcPr>
          <w:p w14:paraId="349D6067" w14:textId="77777777" w:rsidR="002F663C" w:rsidRPr="00711F9C" w:rsidRDefault="000051D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4882810" w14:textId="77777777" w:rsidR="002F663C" w:rsidRPr="002F663C" w:rsidRDefault="000051D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D17E75" w14:paraId="3B4A15AD" w14:textId="77777777" w:rsidTr="00E9471B">
        <w:tc>
          <w:tcPr>
            <w:tcW w:w="851" w:type="dxa"/>
            <w:shd w:val="clear" w:color="auto" w:fill="auto"/>
          </w:tcPr>
          <w:p w14:paraId="290A0D72" w14:textId="77777777" w:rsidR="002F663C" w:rsidRPr="00711F9C" w:rsidRDefault="000051D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1B296A6" w14:textId="77777777" w:rsidR="002F663C" w:rsidRPr="002F663C" w:rsidRDefault="000051D7"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Appelnotedebasdep"/>
                <w:rFonts w:eastAsia="Calibri" w:cs="Times New Roman"/>
              </w:rPr>
              <w:footnoteReference w:id="1"/>
            </w:r>
            <w:bookmarkEnd w:id="1"/>
            <w:r w:rsidRPr="002F663C">
              <w:rPr>
                <w:rFonts w:eastAsia="Calibri" w:cs="Times New Roman"/>
              </w:rPr>
              <w:t xml:space="preserve">: </w:t>
            </w:r>
          </w:p>
        </w:tc>
      </w:tr>
      <w:tr w:rsidR="00D17E75" w14:paraId="4911069A" w14:textId="77777777" w:rsidTr="00E9471B">
        <w:tc>
          <w:tcPr>
            <w:tcW w:w="851" w:type="dxa"/>
            <w:shd w:val="clear" w:color="auto" w:fill="auto"/>
          </w:tcPr>
          <w:p w14:paraId="242E709C" w14:textId="77777777" w:rsidR="002F663C" w:rsidRPr="00711F9C" w:rsidRDefault="000051D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4A2C439" w14:textId="77777777" w:rsidR="002F663C" w:rsidRPr="002F663C" w:rsidRDefault="000051D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134E975A" w14:textId="77777777" w:rsidR="002F663C" w:rsidRPr="002F663C" w:rsidRDefault="000051D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D17E75" w14:paraId="29E9D01D" w14:textId="77777777" w:rsidTr="00E9471B">
        <w:tc>
          <w:tcPr>
            <w:tcW w:w="851" w:type="dxa"/>
            <w:shd w:val="clear" w:color="auto" w:fill="auto"/>
          </w:tcPr>
          <w:p w14:paraId="2D37108C" w14:textId="77777777" w:rsidR="002F663C" w:rsidRPr="00711F9C" w:rsidRDefault="000051D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4829317" w14:textId="77777777" w:rsidR="002F663C" w:rsidRPr="002F663C" w:rsidRDefault="000051D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1051B718" w14:textId="77777777" w:rsidR="002F663C" w:rsidRPr="002F663C" w:rsidRDefault="000051D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D17E75" w14:paraId="5A0C77B4" w14:textId="77777777" w:rsidTr="00E9471B">
        <w:tc>
          <w:tcPr>
            <w:tcW w:w="851" w:type="dxa"/>
            <w:shd w:val="clear" w:color="auto" w:fill="auto"/>
          </w:tcPr>
          <w:p w14:paraId="09E1AB73" w14:textId="77777777" w:rsidR="002F663C" w:rsidRPr="00711F9C" w:rsidRDefault="000051D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17B161F" w14:textId="77777777" w:rsidR="002F663C" w:rsidRPr="002F663C" w:rsidRDefault="000051D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D17E75" w14:paraId="2BB40CD0" w14:textId="77777777" w:rsidTr="00E9471B">
        <w:tc>
          <w:tcPr>
            <w:tcW w:w="851" w:type="dxa"/>
            <w:tcBorders>
              <w:bottom w:val="double" w:sz="4" w:space="0" w:color="auto"/>
            </w:tcBorders>
            <w:shd w:val="clear" w:color="auto" w:fill="auto"/>
          </w:tcPr>
          <w:p w14:paraId="2B59296E" w14:textId="77777777" w:rsidR="002F663C" w:rsidRPr="00711F9C" w:rsidRDefault="000051D7"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1697302A" w14:textId="77777777" w:rsidR="002F663C" w:rsidRPr="002F663C" w:rsidRDefault="000051D7"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411F6E82" w14:textId="77777777" w:rsidR="00467A46" w:rsidRDefault="000051D7" w:rsidP="00EB7B40">
            <w:pPr>
              <w:spacing w:before="120" w:after="120"/>
              <w:rPr>
                <w:rFonts w:eastAsia="Calibri" w:cs="Times New Roman"/>
              </w:rPr>
            </w:pPr>
            <w:r>
              <w:rPr>
                <w:rFonts w:eastAsia="Calibri" w:cs="Times New Roman"/>
              </w:rPr>
              <w:t>Publication of determination</w:t>
            </w:r>
          </w:p>
          <w:p w14:paraId="6DDF545B" w14:textId="77777777" w:rsidR="00467A46" w:rsidRDefault="00FB60E8" w:rsidP="00EB7B40">
            <w:pPr>
              <w:spacing w:before="120" w:after="120"/>
              <w:rPr>
                <w:rFonts w:eastAsia="Calibri" w:cs="Times New Roman"/>
              </w:rPr>
            </w:pPr>
            <w:hyperlink r:id="rId9" w:tgtFrame="_blank" w:history="1">
              <w:r w:rsidR="000051D7">
                <w:rPr>
                  <w:rFonts w:eastAsia="Calibri" w:cs="Times New Roman"/>
                  <w:color w:val="0000FF"/>
                  <w:u w:val="single"/>
                </w:rPr>
                <w:t>https://members.wto.org/crnattachments/2024/TBT/USA/24_07087_00_e.pdf</w:t>
              </w:r>
            </w:hyperlink>
          </w:p>
        </w:tc>
      </w:tr>
      <w:bookmarkEnd w:id="0"/>
    </w:tbl>
    <w:p w14:paraId="355C54D1" w14:textId="77777777" w:rsidR="002F663C" w:rsidRPr="002F663C" w:rsidRDefault="002F663C" w:rsidP="002F663C">
      <w:pPr>
        <w:jc w:val="left"/>
        <w:rPr>
          <w:rFonts w:eastAsia="Calibri" w:cs="Times New Roman"/>
          <w:highlight w:val="yellow"/>
        </w:rPr>
      </w:pPr>
    </w:p>
    <w:p w14:paraId="322E93D1" w14:textId="77777777" w:rsidR="003971FF" w:rsidRPr="007F6EA2" w:rsidRDefault="000051D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Energy Policy and Conservation Act of 1975 (</w:t>
      </w:r>
      <w:hyperlink r:id="rId10" w:history="1">
        <w:r w:rsidRPr="002F663C">
          <w:rPr>
            <w:rFonts w:eastAsia="Calibri" w:cs="Times New Roman"/>
            <w:color w:val="0000FF"/>
            <w:szCs w:val="18"/>
            <w:u w:val="single"/>
          </w:rPr>
          <w:t>EPCA</w:t>
        </w:r>
      </w:hyperlink>
      <w:r w:rsidRPr="002F663C">
        <w:rPr>
          <w:rFonts w:eastAsia="Calibri" w:cs="Times New Roman"/>
          <w:szCs w:val="18"/>
        </w:rPr>
        <w:t xml:space="preserve">), as amended, requires that the U.S. Department of Justice (DOJ) make a determination on the impact, if any, of any lessening of competition likely to result from an energy conservation standard and that the U.S. Department of Energy (DOE) publish such determination in the Federal Register. DOE published a </w:t>
      </w:r>
      <w:hyperlink r:id="rId11" w:history="1">
        <w:r w:rsidRPr="002F663C">
          <w:rPr>
            <w:rFonts w:eastAsia="Calibri" w:cs="Times New Roman"/>
            <w:color w:val="0000FF"/>
            <w:szCs w:val="18"/>
            <w:u w:val="single"/>
          </w:rPr>
          <w:t>direct final rule</w:t>
        </w:r>
      </w:hyperlink>
      <w:r w:rsidRPr="002F663C">
        <w:rPr>
          <w:rFonts w:eastAsia="Calibri" w:cs="Times New Roman"/>
          <w:szCs w:val="18"/>
        </w:rPr>
        <w:t xml:space="preserve"> (notified as </w:t>
      </w:r>
      <w:hyperlink r:id="rId12" w:history="1">
        <w:r w:rsidRPr="002F663C">
          <w:rPr>
            <w:rFonts w:eastAsia="Calibri" w:cs="Times New Roman"/>
            <w:color w:val="0000FF"/>
            <w:szCs w:val="18"/>
            <w:u w:val="single"/>
          </w:rPr>
          <w:t>G/TBT/N/USA/998/Rev.1/Add.1</w:t>
        </w:r>
      </w:hyperlink>
      <w:r w:rsidRPr="002F663C">
        <w:rPr>
          <w:rFonts w:eastAsia="Calibri" w:cs="Times New Roman"/>
          <w:szCs w:val="18"/>
        </w:rPr>
        <w:t xml:space="preserve">) and accompanying </w:t>
      </w:r>
      <w:hyperlink r:id="rId13" w:history="1">
        <w:r w:rsidRPr="002F663C">
          <w:rPr>
            <w:rFonts w:eastAsia="Calibri" w:cs="Times New Roman"/>
            <w:color w:val="0000FF"/>
            <w:szCs w:val="18"/>
            <w:u w:val="single"/>
          </w:rPr>
          <w:t>notice of proposed rulemaking</w:t>
        </w:r>
      </w:hyperlink>
      <w:r w:rsidRPr="002F663C">
        <w:rPr>
          <w:rFonts w:eastAsia="Calibri" w:cs="Times New Roman"/>
          <w:szCs w:val="18"/>
        </w:rPr>
        <w:t xml:space="preserve"> (notified as </w:t>
      </w:r>
      <w:hyperlink r:id="rId14" w:history="1">
        <w:r w:rsidRPr="002F663C">
          <w:rPr>
            <w:rFonts w:eastAsia="Calibri" w:cs="Times New Roman"/>
            <w:color w:val="0000FF"/>
            <w:szCs w:val="18"/>
            <w:u w:val="single"/>
          </w:rPr>
          <w:t>G/TBT/N/USA/998/Rev.1</w:t>
        </w:r>
      </w:hyperlink>
      <w:r w:rsidRPr="002F663C">
        <w:rPr>
          <w:rFonts w:eastAsia="Calibri" w:cs="Times New Roman"/>
          <w:szCs w:val="18"/>
        </w:rPr>
        <w:t xml:space="preserve">) for </w:t>
      </w:r>
      <w:hyperlink r:id="rId15" w:history="1">
        <w:r w:rsidRPr="002F663C">
          <w:rPr>
            <w:rFonts w:eastAsia="Calibri" w:cs="Times New Roman"/>
            <w:color w:val="0000FF"/>
            <w:szCs w:val="18"/>
            <w:u w:val="single"/>
          </w:rPr>
          <w:t>consumer conventional cooking products</w:t>
        </w:r>
      </w:hyperlink>
      <w:r w:rsidRPr="002F663C">
        <w:rPr>
          <w:rFonts w:eastAsia="Calibri" w:cs="Times New Roman"/>
          <w:szCs w:val="18"/>
        </w:rPr>
        <w:t xml:space="preserve"> on 14 February 2024. In accordance with EPCA, DOE is publishing DOJ's determination of the impact, if any, the energy conservation standards for consumer conventional cooking products will have on competition.</w:t>
      </w:r>
    </w:p>
    <w:p w14:paraId="3FE9941D" w14:textId="77777777" w:rsidR="00FE48CA" w:rsidRPr="002F663C" w:rsidRDefault="000051D7" w:rsidP="00B16ACF">
      <w:pPr>
        <w:spacing w:before="120" w:after="120"/>
        <w:rPr>
          <w:rFonts w:eastAsia="Calibri" w:cs="Times New Roman"/>
          <w:szCs w:val="18"/>
        </w:rPr>
      </w:pPr>
      <w:r w:rsidRPr="002F663C">
        <w:rPr>
          <w:rFonts w:eastAsia="Calibri" w:cs="Times New Roman"/>
          <w:szCs w:val="18"/>
        </w:rPr>
        <w:t>The DOJ determination is dated 9 April 2024.</w:t>
      </w:r>
    </w:p>
    <w:p w14:paraId="7EE3F88B" w14:textId="77777777" w:rsidR="00FE48CA" w:rsidRPr="002F663C" w:rsidRDefault="000051D7" w:rsidP="00B16ACF">
      <w:pPr>
        <w:spacing w:before="120" w:after="120"/>
        <w:rPr>
          <w:rFonts w:eastAsia="Calibri" w:cs="Times New Roman"/>
          <w:szCs w:val="18"/>
        </w:rPr>
      </w:pPr>
      <w:r w:rsidRPr="002F663C">
        <w:rPr>
          <w:rFonts w:eastAsia="Calibri" w:cs="Times New Roman"/>
          <w:szCs w:val="18"/>
        </w:rPr>
        <w:lastRenderedPageBreak/>
        <w:t xml:space="preserve">89 Federal Register (FR) 84076, 21 October 2024; </w:t>
      </w:r>
      <w:hyperlink r:id="rId16" w:history="1">
        <w:r w:rsidRPr="002F663C">
          <w:rPr>
            <w:rFonts w:eastAsia="Calibri" w:cs="Times New Roman"/>
            <w:color w:val="0000FF"/>
            <w:szCs w:val="18"/>
            <w:u w:val="single"/>
          </w:rPr>
          <w:t>Title 10 Code of Federal Regulations (CFR) Part 430</w:t>
        </w:r>
      </w:hyperlink>
      <w:r w:rsidRPr="002F663C">
        <w:rPr>
          <w:rFonts w:eastAsia="Calibri" w:cs="Times New Roman"/>
          <w:szCs w:val="18"/>
        </w:rPr>
        <w:t>:</w:t>
      </w:r>
    </w:p>
    <w:p w14:paraId="0AC2EECD" w14:textId="77777777" w:rsidR="00FE48CA" w:rsidRPr="002F663C" w:rsidRDefault="00FB60E8" w:rsidP="00B16ACF">
      <w:pPr>
        <w:spacing w:before="120" w:after="120"/>
        <w:rPr>
          <w:rFonts w:eastAsia="Calibri" w:cs="Times New Roman"/>
          <w:szCs w:val="18"/>
        </w:rPr>
      </w:pPr>
      <w:hyperlink r:id="rId17" w:history="1">
        <w:r w:rsidR="000051D7" w:rsidRPr="002F663C">
          <w:rPr>
            <w:rFonts w:eastAsia="Calibri" w:cs="Times New Roman"/>
            <w:color w:val="0000FF"/>
            <w:szCs w:val="18"/>
            <w:u w:val="single"/>
          </w:rPr>
          <w:t>https://www.govinfo.gov/content/pkg/FR-2024-10-21/html/2024-24158.htm</w:t>
        </w:r>
      </w:hyperlink>
    </w:p>
    <w:p w14:paraId="734FDD26" w14:textId="77777777" w:rsidR="00FE48CA" w:rsidRPr="002F663C" w:rsidRDefault="00FB60E8" w:rsidP="00B16ACF">
      <w:pPr>
        <w:spacing w:before="120" w:after="120"/>
        <w:rPr>
          <w:rFonts w:eastAsia="Calibri" w:cs="Times New Roman"/>
          <w:szCs w:val="18"/>
        </w:rPr>
      </w:pPr>
      <w:hyperlink r:id="rId18" w:history="1">
        <w:r w:rsidR="000051D7" w:rsidRPr="002F663C">
          <w:rPr>
            <w:rFonts w:eastAsia="Calibri" w:cs="Times New Roman"/>
            <w:color w:val="0000FF"/>
            <w:szCs w:val="18"/>
            <w:u w:val="single"/>
          </w:rPr>
          <w:t>https://www.govinfo.gov/content/pkg/FR-2024-10-21/pdf/2024-24158.pdf</w:t>
        </w:r>
      </w:hyperlink>
    </w:p>
    <w:p w14:paraId="59E4013A" w14:textId="77777777" w:rsidR="00FE48CA" w:rsidRPr="002F663C" w:rsidRDefault="000051D7" w:rsidP="00B16ACF">
      <w:pPr>
        <w:spacing w:before="120" w:after="120"/>
        <w:rPr>
          <w:rFonts w:eastAsia="Calibri" w:cs="Times New Roman"/>
          <w:szCs w:val="18"/>
        </w:rPr>
      </w:pPr>
      <w:r w:rsidRPr="002F663C">
        <w:rPr>
          <w:rFonts w:eastAsia="Calibri" w:cs="Times New Roman"/>
          <w:szCs w:val="18"/>
        </w:rPr>
        <w:t xml:space="preserve">This action and previous actions notified under the symbol </w:t>
      </w:r>
      <w:hyperlink r:id="rId19" w:history="1">
        <w:r w:rsidRPr="002F663C">
          <w:rPr>
            <w:rFonts w:eastAsia="Calibri" w:cs="Times New Roman"/>
            <w:color w:val="0000FF"/>
            <w:szCs w:val="18"/>
            <w:u w:val="single"/>
          </w:rPr>
          <w:t>G/TBT/N/USA/998</w:t>
        </w:r>
      </w:hyperlink>
      <w:r w:rsidRPr="002F663C">
        <w:rPr>
          <w:rFonts w:eastAsia="Calibri" w:cs="Times New Roman"/>
          <w:szCs w:val="18"/>
        </w:rPr>
        <w:t xml:space="preserve"> are identified by Docket Number EERE-2014-BT-STD-0005. The Docket Folder is available on Regulations.gov at </w:t>
      </w:r>
      <w:hyperlink r:id="rId20" w:history="1">
        <w:r w:rsidRPr="002F663C">
          <w:rPr>
            <w:rFonts w:eastAsia="Calibri" w:cs="Times New Roman"/>
            <w:color w:val="0000FF"/>
            <w:szCs w:val="18"/>
            <w:u w:val="single"/>
          </w:rPr>
          <w:t>https://www.regulations.gov/docket/EERE-2014-BT-STD-0005/document</w:t>
        </w:r>
      </w:hyperlink>
      <w:r w:rsidRPr="002F663C">
        <w:rPr>
          <w:rFonts w:eastAsia="Calibri" w:cs="Times New Roman"/>
          <w:szCs w:val="18"/>
        </w:rPr>
        <w:t xml:space="preserve"> and provides access to primary and supporting documents as well as comments received. Documents are also accessible from </w:t>
      </w:r>
      <w:hyperlink r:id="rId21"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1B0FE2D1" w14:textId="77777777" w:rsidR="006C5A96" w:rsidRDefault="000051D7" w:rsidP="006C5A96">
      <w:pPr>
        <w:jc w:val="center"/>
        <w:rPr>
          <w:b/>
        </w:rPr>
      </w:pPr>
      <w:r w:rsidRPr="003971FF">
        <w:rPr>
          <w:b/>
        </w:rPr>
        <w:t>__________</w:t>
      </w:r>
    </w:p>
    <w:p w14:paraId="4B7D301C" w14:textId="77777777" w:rsidR="004D4D19" w:rsidRDefault="004D4D19" w:rsidP="007F38C2">
      <w:pPr>
        <w:jc w:val="center"/>
        <w:rPr>
          <w:b/>
        </w:rPr>
      </w:pPr>
    </w:p>
    <w:p w14:paraId="1CAB8741"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7BE9" w14:textId="77777777" w:rsidR="000051D7" w:rsidRDefault="000051D7">
      <w:r>
        <w:separator/>
      </w:r>
    </w:p>
  </w:endnote>
  <w:endnote w:type="continuationSeparator" w:id="0">
    <w:p w14:paraId="2F6632E5" w14:textId="77777777" w:rsidR="000051D7" w:rsidRDefault="0000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8770" w14:textId="77777777" w:rsidR="00544326" w:rsidRPr="00DD3DD7" w:rsidRDefault="000051D7"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640C" w14:textId="77777777" w:rsidR="00544326" w:rsidRPr="00DD3DD7" w:rsidRDefault="000051D7"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4C2E" w14:textId="082D57FB" w:rsidR="000051D7" w:rsidRDefault="000051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2DD5" w14:textId="77777777" w:rsidR="004D3A6A" w:rsidRDefault="000051D7" w:rsidP="00ED54E0">
      <w:r>
        <w:separator/>
      </w:r>
    </w:p>
  </w:footnote>
  <w:footnote w:type="continuationSeparator" w:id="0">
    <w:p w14:paraId="335AD35E" w14:textId="77777777" w:rsidR="004D3A6A" w:rsidRDefault="000051D7" w:rsidP="00ED54E0">
      <w:r>
        <w:continuationSeparator/>
      </w:r>
    </w:p>
  </w:footnote>
  <w:footnote w:id="1">
    <w:p w14:paraId="17B419D4" w14:textId="77777777" w:rsidR="007F6EA2" w:rsidRDefault="000051D7">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D4E9" w14:textId="77777777" w:rsidR="00DD3DD7" w:rsidRDefault="000051D7" w:rsidP="00DD3DD7">
    <w:pPr>
      <w:pStyle w:val="En-tte"/>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14FDD42D" w14:textId="77777777" w:rsidR="004D4D19" w:rsidRPr="00DD3DD7" w:rsidRDefault="004D4D19" w:rsidP="00DD3DD7">
    <w:pPr>
      <w:pStyle w:val="En-tte"/>
      <w:pBdr>
        <w:bottom w:val="single" w:sz="4" w:space="1" w:color="auto"/>
      </w:pBdr>
      <w:tabs>
        <w:tab w:val="clear" w:pos="4513"/>
        <w:tab w:val="clear" w:pos="9027"/>
      </w:tabs>
      <w:jc w:val="center"/>
    </w:pPr>
  </w:p>
  <w:p w14:paraId="68C17A9E" w14:textId="77777777" w:rsidR="00DD3DD7" w:rsidRPr="00DD3DD7" w:rsidRDefault="000051D7"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189E90C" w14:textId="0B99535D"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6DB2" w14:textId="77777777" w:rsidR="00DD3DD7" w:rsidRPr="00DD3DD7" w:rsidRDefault="000051D7" w:rsidP="00DD3DD7">
    <w:pPr>
      <w:pStyle w:val="En-tte"/>
      <w:pBdr>
        <w:bottom w:val="single" w:sz="4" w:space="1" w:color="auto"/>
      </w:pBdr>
      <w:tabs>
        <w:tab w:val="clear" w:pos="4513"/>
        <w:tab w:val="clear" w:pos="9027"/>
      </w:tabs>
      <w:jc w:val="center"/>
    </w:pPr>
    <w:bookmarkStart w:id="3" w:name="spsSymbolHeader"/>
    <w:r w:rsidRPr="00DD3DD7">
      <w:t>G/TBT/N/USA/998/Rev.1/Add.3</w:t>
    </w:r>
    <w:bookmarkEnd w:id="3"/>
  </w:p>
  <w:p w14:paraId="10C33C95" w14:textId="77777777" w:rsidR="00DD3DD7" w:rsidRPr="00DD3DD7" w:rsidRDefault="00DD3DD7" w:rsidP="00DD3DD7">
    <w:pPr>
      <w:pStyle w:val="En-tte"/>
      <w:pBdr>
        <w:bottom w:val="single" w:sz="4" w:space="1" w:color="auto"/>
      </w:pBdr>
      <w:tabs>
        <w:tab w:val="clear" w:pos="4513"/>
        <w:tab w:val="clear" w:pos="9027"/>
      </w:tabs>
      <w:jc w:val="center"/>
    </w:pPr>
  </w:p>
  <w:p w14:paraId="2CF7CE5C" w14:textId="77777777" w:rsidR="00DD3DD7" w:rsidRPr="00DD3DD7" w:rsidRDefault="000051D7"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9B47C09" w14:textId="4E94FBB2"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7E75" w14:paraId="4993C615" w14:textId="77777777" w:rsidTr="00544326">
      <w:trPr>
        <w:trHeight w:val="240"/>
        <w:jc w:val="center"/>
      </w:trPr>
      <w:tc>
        <w:tcPr>
          <w:tcW w:w="3794" w:type="dxa"/>
          <w:shd w:val="clear" w:color="auto" w:fill="FFFFFF"/>
          <w:tcMar>
            <w:left w:w="108" w:type="dxa"/>
            <w:right w:w="108" w:type="dxa"/>
          </w:tcMar>
          <w:vAlign w:val="center"/>
        </w:tcPr>
        <w:p w14:paraId="1EC8158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CEDCB0E" w14:textId="77777777" w:rsidR="00ED54E0" w:rsidRPr="00182B84" w:rsidRDefault="000051D7" w:rsidP="00425DC5">
          <w:pPr>
            <w:jc w:val="right"/>
            <w:rPr>
              <w:b/>
              <w:color w:val="FF0000"/>
              <w:szCs w:val="16"/>
            </w:rPr>
          </w:pPr>
          <w:r>
            <w:rPr>
              <w:b/>
              <w:color w:val="FF0000"/>
              <w:szCs w:val="16"/>
            </w:rPr>
            <w:t xml:space="preserve"> </w:t>
          </w:r>
        </w:p>
      </w:tc>
    </w:tr>
    <w:tr w:rsidR="00D17E75" w14:paraId="629823C5" w14:textId="77777777" w:rsidTr="00544326">
      <w:trPr>
        <w:trHeight w:val="213"/>
        <w:jc w:val="center"/>
      </w:trPr>
      <w:tc>
        <w:tcPr>
          <w:tcW w:w="3794" w:type="dxa"/>
          <w:vMerge w:val="restart"/>
          <w:shd w:val="clear" w:color="auto" w:fill="FFFFFF"/>
          <w:tcMar>
            <w:left w:w="0" w:type="dxa"/>
            <w:right w:w="0" w:type="dxa"/>
          </w:tcMar>
        </w:tcPr>
        <w:p w14:paraId="4522DFFB" w14:textId="77777777" w:rsidR="00ED54E0" w:rsidRPr="00182B84" w:rsidRDefault="000051D7" w:rsidP="00425DC5">
          <w:pPr>
            <w:jc w:val="left"/>
          </w:pPr>
          <w:r w:rsidRPr="00182B84">
            <w:rPr>
              <w:noProof/>
              <w:lang w:val="en-US"/>
            </w:rPr>
            <w:drawing>
              <wp:inline distT="0" distB="0" distL="0" distR="0" wp14:anchorId="011CC3BA" wp14:editId="478D6DA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806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F77D8B" w14:textId="77777777" w:rsidR="00ED54E0" w:rsidRPr="00182B84" w:rsidRDefault="00ED54E0" w:rsidP="00425DC5">
          <w:pPr>
            <w:jc w:val="right"/>
            <w:rPr>
              <w:b/>
              <w:szCs w:val="16"/>
            </w:rPr>
          </w:pPr>
        </w:p>
      </w:tc>
    </w:tr>
    <w:tr w:rsidR="00D17E75" w14:paraId="41EEA8AA" w14:textId="77777777" w:rsidTr="00544326">
      <w:trPr>
        <w:trHeight w:val="868"/>
        <w:jc w:val="center"/>
      </w:trPr>
      <w:tc>
        <w:tcPr>
          <w:tcW w:w="3794" w:type="dxa"/>
          <w:vMerge/>
          <w:shd w:val="clear" w:color="auto" w:fill="FFFFFF"/>
          <w:tcMar>
            <w:left w:w="108" w:type="dxa"/>
            <w:right w:w="108" w:type="dxa"/>
          </w:tcMar>
        </w:tcPr>
        <w:p w14:paraId="01A13A7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14C0740" w14:textId="77777777" w:rsidR="00DD3DD7" w:rsidRPr="002F663C" w:rsidRDefault="000051D7" w:rsidP="00DD3DD7">
          <w:pPr>
            <w:jc w:val="right"/>
            <w:rPr>
              <w:rFonts w:eastAsia="Calibri" w:cs="Times New Roman"/>
              <w:b/>
              <w:szCs w:val="16"/>
            </w:rPr>
          </w:pPr>
          <w:bookmarkStart w:id="4" w:name="bmkSymbols"/>
          <w:r w:rsidRPr="002F663C">
            <w:rPr>
              <w:rFonts w:eastAsia="Calibri" w:cs="Times New Roman"/>
              <w:b/>
              <w:szCs w:val="16"/>
            </w:rPr>
            <w:t>G/TBT/N/USA/998/Rev.1/Add.3</w:t>
          </w:r>
          <w:bookmarkEnd w:id="4"/>
        </w:p>
        <w:p w14:paraId="7CBEE1F0" w14:textId="77777777" w:rsidR="00C14444" w:rsidRPr="00C14444" w:rsidRDefault="00C14444" w:rsidP="00C14444">
          <w:pPr>
            <w:jc w:val="center"/>
            <w:rPr>
              <w:szCs w:val="16"/>
            </w:rPr>
          </w:pPr>
        </w:p>
      </w:tc>
    </w:tr>
    <w:tr w:rsidR="00D17E75" w14:paraId="5C7378A8" w14:textId="77777777" w:rsidTr="00544326">
      <w:trPr>
        <w:trHeight w:val="240"/>
        <w:jc w:val="center"/>
      </w:trPr>
      <w:tc>
        <w:tcPr>
          <w:tcW w:w="3794" w:type="dxa"/>
          <w:vMerge/>
          <w:shd w:val="clear" w:color="auto" w:fill="FFFFFF"/>
          <w:tcMar>
            <w:left w:w="108" w:type="dxa"/>
            <w:right w:w="108" w:type="dxa"/>
          </w:tcMar>
          <w:vAlign w:val="center"/>
        </w:tcPr>
        <w:p w14:paraId="7BC95659" w14:textId="77777777" w:rsidR="00ED54E0" w:rsidRPr="00182B84" w:rsidRDefault="00ED54E0" w:rsidP="00425DC5"/>
      </w:tc>
      <w:tc>
        <w:tcPr>
          <w:tcW w:w="5448" w:type="dxa"/>
          <w:gridSpan w:val="2"/>
          <w:shd w:val="clear" w:color="auto" w:fill="FFFFFF"/>
          <w:tcMar>
            <w:left w:w="108" w:type="dxa"/>
            <w:right w:w="108" w:type="dxa"/>
          </w:tcMar>
          <w:vAlign w:val="center"/>
        </w:tcPr>
        <w:p w14:paraId="7602974E" w14:textId="7BE86812" w:rsidR="00ED54E0" w:rsidRPr="00182B84" w:rsidRDefault="000051D7" w:rsidP="00425DC5">
          <w:pPr>
            <w:jc w:val="right"/>
            <w:rPr>
              <w:szCs w:val="16"/>
            </w:rPr>
          </w:pPr>
          <w:bookmarkStart w:id="5" w:name="bmkDate"/>
          <w:bookmarkEnd w:id="5"/>
          <w:r>
            <w:rPr>
              <w:szCs w:val="16"/>
            </w:rPr>
            <w:t>22 October 2024</w:t>
          </w:r>
        </w:p>
      </w:tc>
    </w:tr>
    <w:tr w:rsidR="00D17E75" w14:paraId="13583C1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E89F78" w14:textId="6472CF28" w:rsidR="00ED54E0" w:rsidRPr="00182B84" w:rsidRDefault="000051D7"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FB60E8">
            <w:rPr>
              <w:rFonts w:eastAsia="Calibri" w:cs="Times New Roman"/>
              <w:color w:val="FF0000"/>
              <w:szCs w:val="16"/>
            </w:rPr>
            <w:t>-7469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B3AA1A5" w14:textId="77777777" w:rsidR="00ED54E0" w:rsidRPr="00182B84" w:rsidRDefault="000051D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17E75" w14:paraId="196D4E9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060FA7" w14:textId="77777777" w:rsidR="00ED54E0" w:rsidRPr="00182B84" w:rsidRDefault="000051D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2935694" w14:textId="77777777" w:rsidR="00ED54E0" w:rsidRPr="00182B84" w:rsidRDefault="000051D7"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16D0D8A"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11A2522">
      <w:start w:val="1"/>
      <w:numFmt w:val="decimal"/>
      <w:pStyle w:val="SummaryText"/>
      <w:lvlText w:val="%1."/>
      <w:lvlJc w:val="left"/>
      <w:pPr>
        <w:ind w:left="360" w:hanging="360"/>
      </w:pPr>
    </w:lvl>
    <w:lvl w:ilvl="1" w:tplc="0E8EB0D4" w:tentative="1">
      <w:start w:val="1"/>
      <w:numFmt w:val="lowerLetter"/>
      <w:lvlText w:val="%2."/>
      <w:lvlJc w:val="left"/>
      <w:pPr>
        <w:ind w:left="1080" w:hanging="360"/>
      </w:pPr>
    </w:lvl>
    <w:lvl w:ilvl="2" w:tplc="5E8C9E32" w:tentative="1">
      <w:start w:val="1"/>
      <w:numFmt w:val="lowerRoman"/>
      <w:lvlText w:val="%3."/>
      <w:lvlJc w:val="right"/>
      <w:pPr>
        <w:ind w:left="1800" w:hanging="180"/>
      </w:pPr>
    </w:lvl>
    <w:lvl w:ilvl="3" w:tplc="87EE4372" w:tentative="1">
      <w:start w:val="1"/>
      <w:numFmt w:val="decimal"/>
      <w:lvlText w:val="%4."/>
      <w:lvlJc w:val="left"/>
      <w:pPr>
        <w:ind w:left="2520" w:hanging="360"/>
      </w:pPr>
    </w:lvl>
    <w:lvl w:ilvl="4" w:tplc="CFBE41F2" w:tentative="1">
      <w:start w:val="1"/>
      <w:numFmt w:val="lowerLetter"/>
      <w:lvlText w:val="%5."/>
      <w:lvlJc w:val="left"/>
      <w:pPr>
        <w:ind w:left="3240" w:hanging="360"/>
      </w:pPr>
    </w:lvl>
    <w:lvl w:ilvl="5" w:tplc="70CCE280" w:tentative="1">
      <w:start w:val="1"/>
      <w:numFmt w:val="lowerRoman"/>
      <w:lvlText w:val="%6."/>
      <w:lvlJc w:val="right"/>
      <w:pPr>
        <w:ind w:left="3960" w:hanging="180"/>
      </w:pPr>
    </w:lvl>
    <w:lvl w:ilvl="6" w:tplc="E4E81CA4" w:tentative="1">
      <w:start w:val="1"/>
      <w:numFmt w:val="decimal"/>
      <w:lvlText w:val="%7."/>
      <w:lvlJc w:val="left"/>
      <w:pPr>
        <w:ind w:left="4680" w:hanging="360"/>
      </w:pPr>
    </w:lvl>
    <w:lvl w:ilvl="7" w:tplc="3E18B008" w:tentative="1">
      <w:start w:val="1"/>
      <w:numFmt w:val="lowerLetter"/>
      <w:lvlText w:val="%8."/>
      <w:lvlJc w:val="left"/>
      <w:pPr>
        <w:ind w:left="5400" w:hanging="360"/>
      </w:pPr>
    </w:lvl>
    <w:lvl w:ilvl="8" w:tplc="BD888BC6" w:tentative="1">
      <w:start w:val="1"/>
      <w:numFmt w:val="lowerRoman"/>
      <w:lvlText w:val="%9."/>
      <w:lvlJc w:val="right"/>
      <w:pPr>
        <w:ind w:left="6120" w:hanging="180"/>
      </w:pPr>
    </w:lvl>
  </w:abstractNum>
  <w:num w:numId="1" w16cid:durableId="1199659997">
    <w:abstractNumId w:val="9"/>
  </w:num>
  <w:num w:numId="2" w16cid:durableId="1469780702">
    <w:abstractNumId w:val="7"/>
  </w:num>
  <w:num w:numId="3" w16cid:durableId="1456214927">
    <w:abstractNumId w:val="6"/>
  </w:num>
  <w:num w:numId="4" w16cid:durableId="2050638655">
    <w:abstractNumId w:val="5"/>
  </w:num>
  <w:num w:numId="5" w16cid:durableId="1961448856">
    <w:abstractNumId w:val="4"/>
  </w:num>
  <w:num w:numId="6" w16cid:durableId="1836070888">
    <w:abstractNumId w:val="12"/>
  </w:num>
  <w:num w:numId="7" w16cid:durableId="1862468555">
    <w:abstractNumId w:val="11"/>
  </w:num>
  <w:num w:numId="8" w16cid:durableId="2083479725">
    <w:abstractNumId w:val="10"/>
  </w:num>
  <w:num w:numId="9" w16cid:durableId="64845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814220">
    <w:abstractNumId w:val="13"/>
  </w:num>
  <w:num w:numId="11" w16cid:durableId="1602758521">
    <w:abstractNumId w:val="8"/>
  </w:num>
  <w:num w:numId="12" w16cid:durableId="542134342">
    <w:abstractNumId w:val="3"/>
  </w:num>
  <w:num w:numId="13" w16cid:durableId="1467700951">
    <w:abstractNumId w:val="2"/>
  </w:num>
  <w:num w:numId="14" w16cid:durableId="1604917961">
    <w:abstractNumId w:val="1"/>
  </w:num>
  <w:num w:numId="15" w16cid:durableId="581960805">
    <w:abstractNumId w:val="0"/>
  </w:num>
  <w:num w:numId="16" w16cid:durableId="949582192">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51D7"/>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630CC"/>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17E75"/>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B60E8"/>
    <w:rsid w:val="00FD224A"/>
    <w:rsid w:val="00FD28F0"/>
    <w:rsid w:val="00FE4603"/>
    <w:rsid w:val="00FE48CA"/>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0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2-14/pdf/2024-02007.pdf" TargetMode="External"/><Relationship Id="rId18" Type="http://schemas.openxmlformats.org/officeDocument/2006/relationships/hyperlink" Target="https://www.govinfo.gov/content/pkg/FR-2024-10-21/pdf/2024-24158.pdf"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regulations.gov/" TargetMode="External"/><Relationship Id="rId7" Type="http://schemas.openxmlformats.org/officeDocument/2006/relationships/footnotes" Target="footnotes.xml"/><Relationship Id="rId12" Type="http://schemas.openxmlformats.org/officeDocument/2006/relationships/hyperlink" Target="https://eping.wto.org/en/Search?viewData=G/TBT/N/USA/998/Rev.1/Add.1" TargetMode="External"/><Relationship Id="rId17" Type="http://schemas.openxmlformats.org/officeDocument/2006/relationships/hyperlink" Target="https://www.govinfo.gov/content/pkg/FR-2024-10-21/html/2024-24158.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cfr.gov/current/title-10/chapter-II/subchapter-D/part-430" TargetMode="External"/><Relationship Id="rId20" Type="http://schemas.openxmlformats.org/officeDocument/2006/relationships/hyperlink" Target="https://www.regulations.gov/docket/EERE-2014-BT-STD-0005/docu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2-14/pdf/2024-02008.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nergy.gov/eere/buildings/consumer-conventional-cooking-produc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nergy.gov/eere/buildings/determinations-and-coverage-rulemakings" TargetMode="External"/><Relationship Id="rId19" Type="http://schemas.openxmlformats.org/officeDocument/2006/relationships/hyperlink" Target="https://eping.wto.org/en/Search?domainIds=1&amp;documentSymbol=USA%2F998" TargetMode="External"/><Relationship Id="rId4" Type="http://schemas.openxmlformats.org/officeDocument/2006/relationships/styles" Target="styles.xml"/><Relationship Id="rId9" Type="http://schemas.openxmlformats.org/officeDocument/2006/relationships/hyperlink" Target="https://members.wto.org/crnattachments/2024/TBT/USA/24_07087_00_e.pdf" TargetMode="External"/><Relationship Id="rId14" Type="http://schemas.openxmlformats.org/officeDocument/2006/relationships/hyperlink" Target="https://eping.wto.org/en/Search?viewData=G/TBT/N/USA/998/Rev.1"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f8884c0f-c515-4e6d-843f-784c11e79f9b</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187D-8271-4F19-9F54-C33AE8CDBACB}">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2024-10-22T13:42:00Z</dcterms:created>
  <dcterms:modified xsi:type="dcterms:W3CDTF">2024-10-22T14:12:00Z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f8884c0f-c515-4e6d-843f-784c11e79f9b</vt:lpwstr>
  </property>
  <property fmtid="{D5CDD505-2E9C-101B-9397-08002B2CF9AE}" pid="4" name="WTOCLASSIFICATION">
    <vt:lpwstr>WTO OFFICIAL</vt:lpwstr>
  </property>
</Properties>
</file>